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2.xml" ContentType="application/vnd.openxmlformats-officedocument.wordprocessingml.foot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4.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5.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6.xml" ContentType="application/vnd.openxmlformats-officedocument.drawingml.chart+xml"/>
  <Override PartName="/word/charts/style14.xml" ContentType="application/vnd.ms-office.chartstyle+xml"/>
  <Override PartName="/word/charts/colors14.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7.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8.xml" ContentType="application/vnd.openxmlformats-officedocument.drawingml.chart+xml"/>
  <Override PartName="/word/charts/style16.xml" ContentType="application/vnd.ms-office.chartstyle+xml"/>
  <Override PartName="/word/charts/colors16.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4751" w14:textId="77777777" w:rsidR="00DF5ED5" w:rsidRPr="00EB70C1" w:rsidRDefault="00DF5ED5" w:rsidP="00DF5ED5">
      <w:pPr>
        <w:pStyle w:val="Title"/>
        <w:ind w:left="720" w:right="720"/>
        <w:jc w:val="center"/>
        <w:rPr>
          <w:rFonts w:asciiTheme="minorHAnsi" w:hAnsiTheme="minorHAnsi" w:cstheme="minorHAnsi"/>
          <w:i/>
        </w:rPr>
      </w:pPr>
      <w:bookmarkStart w:id="0" w:name="_Hlk38554484"/>
      <w:bookmarkEnd w:id="0"/>
    </w:p>
    <w:p w14:paraId="24B2E9FC" w14:textId="72720F0F" w:rsidR="00DF5ED5" w:rsidRPr="00EB70C1" w:rsidRDefault="002A17DC" w:rsidP="00DF5ED5">
      <w:pPr>
        <w:pStyle w:val="Title"/>
        <w:ind w:left="720" w:right="720"/>
        <w:jc w:val="center"/>
        <w:rPr>
          <w:rFonts w:asciiTheme="minorHAnsi" w:hAnsiTheme="minorHAnsi" w:cstheme="minorHAnsi"/>
          <w:i/>
        </w:rPr>
      </w:pPr>
      <w:r w:rsidRPr="00EB70C1">
        <w:rPr>
          <w:rFonts w:asciiTheme="minorHAnsi" w:hAnsiTheme="minorHAnsi" w:cstheme="minorHAnsi"/>
          <w:i/>
        </w:rPr>
        <w:t xml:space="preserve">2019 </w:t>
      </w:r>
      <w:r w:rsidR="00DF5ED5" w:rsidRPr="00EB70C1">
        <w:rPr>
          <w:rFonts w:asciiTheme="minorHAnsi" w:hAnsiTheme="minorHAnsi" w:cstheme="minorHAnsi"/>
          <w:i/>
        </w:rPr>
        <w:t>Nevada Stroke Registry</w:t>
      </w:r>
    </w:p>
    <w:p w14:paraId="7EC7302D" w14:textId="1159713E" w:rsidR="00DF5ED5" w:rsidRPr="00EB70C1" w:rsidRDefault="00DF5ED5" w:rsidP="00DF5ED5">
      <w:pPr>
        <w:pStyle w:val="Title"/>
        <w:ind w:left="720" w:right="720"/>
        <w:jc w:val="center"/>
        <w:rPr>
          <w:rFonts w:asciiTheme="minorHAnsi" w:hAnsiTheme="minorHAnsi" w:cstheme="minorHAnsi"/>
          <w:i/>
        </w:rPr>
      </w:pPr>
      <w:r w:rsidRPr="00EB70C1">
        <w:rPr>
          <w:rFonts w:asciiTheme="minorHAnsi" w:hAnsiTheme="minorHAnsi" w:cstheme="minorHAnsi"/>
          <w:i/>
        </w:rPr>
        <w:t>Data Summary</w:t>
      </w:r>
    </w:p>
    <w:p w14:paraId="3A902110" w14:textId="4B98F020" w:rsidR="00DF5ED5" w:rsidRPr="00B91870" w:rsidRDefault="00CB692D" w:rsidP="00DF5ED5">
      <w:pPr>
        <w:jc w:val="center"/>
        <w:rPr>
          <w:rFonts w:cstheme="minorHAnsi"/>
          <w:i/>
          <w:sz w:val="40"/>
          <w:szCs w:val="36"/>
        </w:rPr>
      </w:pPr>
      <w:r w:rsidRPr="00B91870">
        <w:rPr>
          <w:rFonts w:cstheme="minorHAnsi"/>
          <w:i/>
          <w:sz w:val="40"/>
          <w:szCs w:val="36"/>
        </w:rPr>
        <w:t>June</w:t>
      </w:r>
      <w:r w:rsidR="00DF5ED5" w:rsidRPr="00B91870">
        <w:rPr>
          <w:rFonts w:cstheme="minorHAnsi"/>
          <w:i/>
          <w:sz w:val="40"/>
          <w:szCs w:val="36"/>
        </w:rPr>
        <w:t xml:space="preserve"> </w:t>
      </w:r>
      <w:r w:rsidR="00403EA7" w:rsidRPr="00B91870">
        <w:rPr>
          <w:rFonts w:cstheme="minorHAnsi"/>
          <w:i/>
          <w:sz w:val="40"/>
          <w:szCs w:val="36"/>
        </w:rPr>
        <w:t>20</w:t>
      </w:r>
      <w:r w:rsidR="005A7C5A" w:rsidRPr="00B91870">
        <w:rPr>
          <w:rFonts w:cstheme="minorHAnsi"/>
          <w:i/>
          <w:sz w:val="40"/>
          <w:szCs w:val="36"/>
        </w:rPr>
        <w:t>20</w:t>
      </w:r>
      <w:r w:rsidR="002F7589" w:rsidRPr="00B91870">
        <w:rPr>
          <w:rFonts w:cstheme="minorHAnsi"/>
          <w:i/>
          <w:sz w:val="40"/>
          <w:szCs w:val="36"/>
        </w:rPr>
        <w:t xml:space="preserve"> | Edition </w:t>
      </w:r>
      <w:r w:rsidR="009C7225" w:rsidRPr="00B91870">
        <w:rPr>
          <w:rFonts w:cstheme="minorHAnsi"/>
          <w:i/>
          <w:sz w:val="40"/>
          <w:szCs w:val="36"/>
        </w:rPr>
        <w:t>1</w:t>
      </w:r>
      <w:r w:rsidR="00BC6E95" w:rsidRPr="00B91870">
        <w:rPr>
          <w:rFonts w:cstheme="minorHAnsi"/>
          <w:i/>
          <w:sz w:val="40"/>
          <w:szCs w:val="36"/>
        </w:rPr>
        <w:t>.0</w:t>
      </w:r>
    </w:p>
    <w:p w14:paraId="4651403F" w14:textId="32606436" w:rsidR="00DF5ED5" w:rsidRPr="00EB70C1" w:rsidRDefault="00495EB9" w:rsidP="00DF5ED5">
      <w:pPr>
        <w:tabs>
          <w:tab w:val="center" w:pos="5760"/>
          <w:tab w:val="left" w:pos="7585"/>
        </w:tabs>
        <w:spacing w:after="0" w:line="240" w:lineRule="auto"/>
        <w:ind w:left="720"/>
        <w:rPr>
          <w:rFonts w:cstheme="minorHAnsi"/>
          <w:i/>
          <w:color w:val="365F91"/>
          <w:sz w:val="60"/>
          <w:szCs w:val="36"/>
        </w:rPr>
      </w:pPr>
      <w:r w:rsidRPr="008E6FA8">
        <w:rPr>
          <w:rFonts w:cstheme="minorHAnsi"/>
          <w:noProof/>
          <w:sz w:val="24"/>
          <w:szCs w:val="24"/>
        </w:rPr>
        <w:drawing>
          <wp:anchor distT="36576" distB="36576" distL="36576" distR="36576" simplePos="0" relativeHeight="251709440" behindDoc="0" locked="0" layoutInCell="1" allowOverlap="1" wp14:anchorId="5E18C61D" wp14:editId="7C0265F4">
            <wp:simplePos x="0" y="0"/>
            <wp:positionH relativeFrom="margin">
              <wp:align>center</wp:align>
            </wp:positionH>
            <wp:positionV relativeFrom="paragraph">
              <wp:posOffset>406417</wp:posOffset>
            </wp:positionV>
            <wp:extent cx="2015198" cy="1964055"/>
            <wp:effectExtent l="0" t="0" r="4445"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5198" cy="19640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F5ED5" w:rsidRPr="00EB70C1">
        <w:rPr>
          <w:rFonts w:cstheme="minorHAnsi"/>
          <w:i/>
          <w:color w:val="365F91"/>
          <w:sz w:val="60"/>
          <w:szCs w:val="36"/>
        </w:rPr>
        <w:tab/>
      </w:r>
      <w:r w:rsidR="00DF5ED5" w:rsidRPr="00EB70C1">
        <w:rPr>
          <w:rFonts w:cstheme="minorHAnsi"/>
          <w:i/>
          <w:color w:val="365F91"/>
          <w:sz w:val="60"/>
          <w:szCs w:val="36"/>
        </w:rPr>
        <w:tab/>
      </w:r>
    </w:p>
    <w:p w14:paraId="361A9E22" w14:textId="2A34C079" w:rsidR="00DF5ED5" w:rsidRPr="00EB70C1" w:rsidRDefault="00DF5ED5" w:rsidP="00DF5ED5">
      <w:pPr>
        <w:spacing w:after="0" w:line="240" w:lineRule="auto"/>
        <w:ind w:left="720"/>
        <w:jc w:val="center"/>
        <w:rPr>
          <w:rFonts w:cstheme="minorHAnsi"/>
          <w:i/>
          <w:color w:val="365F91"/>
          <w:sz w:val="60"/>
          <w:szCs w:val="36"/>
        </w:rPr>
      </w:pPr>
    </w:p>
    <w:p w14:paraId="363151BF" w14:textId="77777777" w:rsidR="00DF5ED5" w:rsidRPr="00EB70C1" w:rsidRDefault="00DF5ED5" w:rsidP="00DF5ED5">
      <w:pPr>
        <w:spacing w:after="0" w:line="240" w:lineRule="auto"/>
        <w:ind w:left="720"/>
        <w:jc w:val="center"/>
        <w:rPr>
          <w:rFonts w:cstheme="minorHAnsi"/>
          <w:i/>
          <w:color w:val="365F91"/>
          <w:sz w:val="60"/>
          <w:szCs w:val="36"/>
        </w:rPr>
      </w:pPr>
    </w:p>
    <w:p w14:paraId="1D19EC99" w14:textId="77777777" w:rsidR="00DF5ED5" w:rsidRPr="00EB70C1" w:rsidRDefault="00DF5ED5" w:rsidP="00DF5ED5">
      <w:pPr>
        <w:ind w:left="720" w:right="720"/>
        <w:rPr>
          <w:rFonts w:cstheme="minorHAnsi"/>
          <w:i/>
          <w:color w:val="365F91"/>
          <w:sz w:val="40"/>
          <w:szCs w:val="36"/>
        </w:rPr>
      </w:pPr>
    </w:p>
    <w:p w14:paraId="069665C1" w14:textId="13F8ACCA" w:rsidR="00DF5ED5" w:rsidRPr="00EB70C1" w:rsidRDefault="00DF5ED5" w:rsidP="00DF5ED5">
      <w:pPr>
        <w:ind w:left="720" w:right="720"/>
        <w:jc w:val="center"/>
        <w:rPr>
          <w:rFonts w:cstheme="minorHAnsi"/>
          <w:i/>
          <w:color w:val="365F91"/>
          <w:sz w:val="74"/>
          <w:szCs w:val="36"/>
        </w:rPr>
      </w:pPr>
    </w:p>
    <w:p w14:paraId="46098BDD" w14:textId="77777777" w:rsidR="00495EB9" w:rsidRPr="008E6FA8" w:rsidRDefault="00495EB9" w:rsidP="00DF5ED5">
      <w:pPr>
        <w:ind w:left="720" w:right="720"/>
        <w:jc w:val="center"/>
        <w:rPr>
          <w:rFonts w:cstheme="minorHAnsi"/>
          <w:i/>
          <w:color w:val="365F91"/>
          <w:sz w:val="52"/>
          <w:szCs w:val="24"/>
        </w:rPr>
      </w:pPr>
    </w:p>
    <w:p w14:paraId="35B0ABF8" w14:textId="5251C2CA" w:rsidR="00DF5ED5" w:rsidRPr="00B91870" w:rsidRDefault="00DF5ED5" w:rsidP="00DF5ED5">
      <w:pPr>
        <w:ind w:left="720" w:right="720"/>
        <w:jc w:val="center"/>
        <w:rPr>
          <w:rFonts w:cstheme="minorHAnsi"/>
          <w:i/>
          <w:color w:val="2A4A70"/>
          <w:sz w:val="40"/>
          <w:szCs w:val="36"/>
        </w:rPr>
      </w:pPr>
      <w:r w:rsidRPr="00B91870">
        <w:rPr>
          <w:rFonts w:cstheme="minorHAnsi"/>
          <w:i/>
          <w:color w:val="2A4A70"/>
          <w:sz w:val="40"/>
          <w:szCs w:val="36"/>
        </w:rPr>
        <w:t>Division of Public and Behavioral Health</w:t>
      </w:r>
    </w:p>
    <w:p w14:paraId="55C21C6A" w14:textId="038807B1" w:rsidR="00DF5ED5" w:rsidRPr="00B91870" w:rsidRDefault="00DF5ED5">
      <w:pPr>
        <w:jc w:val="center"/>
        <w:rPr>
          <w:rFonts w:cstheme="minorHAnsi"/>
          <w:i/>
          <w:color w:val="2A4A70"/>
          <w:sz w:val="40"/>
          <w:szCs w:val="36"/>
        </w:rPr>
      </w:pPr>
      <w:r w:rsidRPr="00B91870">
        <w:rPr>
          <w:rFonts w:cstheme="minorHAnsi"/>
          <w:i/>
          <w:color w:val="2A4A70"/>
          <w:sz w:val="40"/>
          <w:szCs w:val="36"/>
        </w:rPr>
        <w:t>Department of Health and Human Services</w:t>
      </w:r>
      <w:r w:rsidR="005A7C5A" w:rsidRPr="00B91870">
        <w:rPr>
          <w:rFonts w:cstheme="minorHAnsi"/>
          <w:i/>
          <w:color w:val="2A4A70"/>
          <w:sz w:val="40"/>
          <w:szCs w:val="36"/>
        </w:rPr>
        <w:t xml:space="preserve"> </w:t>
      </w:r>
    </w:p>
    <w:p w14:paraId="12C8E7C0" w14:textId="5FE888A5" w:rsidR="00DF5ED5" w:rsidRPr="00EB70C1" w:rsidRDefault="00495EB9" w:rsidP="00DF5ED5">
      <w:pPr>
        <w:rPr>
          <w:rFonts w:cstheme="minorHAnsi"/>
          <w:i/>
          <w:color w:val="365F91"/>
          <w:sz w:val="40"/>
          <w:szCs w:val="36"/>
        </w:rPr>
      </w:pPr>
      <w:r w:rsidRPr="00272F5A">
        <w:rPr>
          <w:rFonts w:cstheme="minorHAnsi"/>
          <w:i/>
          <w:noProof/>
          <w:color w:val="365F91"/>
          <w:sz w:val="40"/>
          <w:szCs w:val="36"/>
        </w:rPr>
        <mc:AlternateContent>
          <mc:Choice Requires="wpg">
            <w:drawing>
              <wp:anchor distT="0" distB="0" distL="114300" distR="114300" simplePos="0" relativeHeight="251660288" behindDoc="0" locked="0" layoutInCell="1" allowOverlap="1" wp14:anchorId="7F24579A" wp14:editId="3F78C1A6">
                <wp:simplePos x="0" y="0"/>
                <wp:positionH relativeFrom="margin">
                  <wp:posOffset>73061</wp:posOffset>
                </wp:positionH>
                <wp:positionV relativeFrom="paragraph">
                  <wp:posOffset>641830</wp:posOffset>
                </wp:positionV>
                <wp:extent cx="6638319" cy="1604453"/>
                <wp:effectExtent l="0" t="0" r="0" b="0"/>
                <wp:wrapNone/>
                <wp:docPr id="90" name="Group 90"/>
                <wp:cNvGraphicFramePr/>
                <a:graphic xmlns:a="http://schemas.openxmlformats.org/drawingml/2006/main">
                  <a:graphicData uri="http://schemas.microsoft.com/office/word/2010/wordprocessingGroup">
                    <wpg:wgp>
                      <wpg:cNvGrpSpPr/>
                      <wpg:grpSpPr>
                        <a:xfrm>
                          <a:off x="0" y="0"/>
                          <a:ext cx="6638319" cy="1604453"/>
                          <a:chOff x="210868" y="-23751"/>
                          <a:chExt cx="6549102" cy="1432491"/>
                        </a:xfrm>
                      </wpg:grpSpPr>
                      <wps:wsp>
                        <wps:cNvPr id="307" name="Text Box 2"/>
                        <wps:cNvSpPr txBox="1">
                          <a:spLocks noChangeArrowheads="1"/>
                        </wps:cNvSpPr>
                        <wps:spPr bwMode="auto">
                          <a:xfrm>
                            <a:off x="210882" y="-23749"/>
                            <a:ext cx="3084829" cy="647469"/>
                          </a:xfrm>
                          <a:prstGeom prst="rect">
                            <a:avLst/>
                          </a:prstGeom>
                          <a:solidFill>
                            <a:srgbClr val="FFFFFF"/>
                          </a:solidFill>
                          <a:ln w="9525">
                            <a:noFill/>
                            <a:miter lim="800000"/>
                            <a:headEnd/>
                            <a:tailEnd/>
                          </a:ln>
                        </wps:spPr>
                        <wps:txbx>
                          <w:txbxContent>
                            <w:p w14:paraId="2186F976" w14:textId="17592CC5" w:rsidR="002F0F61" w:rsidRPr="00B91870" w:rsidRDefault="002F0F61" w:rsidP="00DF5ED5">
                              <w:pPr>
                                <w:pStyle w:val="NoSpacing"/>
                                <w:jc w:val="center"/>
                                <w:rPr>
                                  <w:rFonts w:ascii="Cambria" w:hAnsi="Cambria" w:cs="Times New Roman"/>
                                  <w:b/>
                                  <w:sz w:val="24"/>
                                  <w:szCs w:val="24"/>
                                </w:rPr>
                              </w:pPr>
                              <w:r w:rsidRPr="00B91870">
                                <w:rPr>
                                  <w:rFonts w:ascii="Cambria" w:hAnsi="Cambria" w:cs="Times New Roman"/>
                                  <w:b/>
                                  <w:sz w:val="24"/>
                                  <w:szCs w:val="24"/>
                                </w:rPr>
                                <w:t>Steve Sisolak</w:t>
                              </w:r>
                            </w:p>
                            <w:p w14:paraId="521CD58B" w14:textId="77777777" w:rsidR="002F0F61" w:rsidRPr="00B91870" w:rsidRDefault="002F0F61" w:rsidP="00DF5ED5">
                              <w:pPr>
                                <w:pStyle w:val="NoSpacing"/>
                                <w:jc w:val="center"/>
                                <w:rPr>
                                  <w:rFonts w:ascii="Cambria" w:hAnsi="Cambria" w:cs="Times New Roman"/>
                                  <w:i/>
                                  <w:sz w:val="24"/>
                                  <w:szCs w:val="24"/>
                                </w:rPr>
                              </w:pPr>
                              <w:r w:rsidRPr="00B91870">
                                <w:rPr>
                                  <w:rFonts w:ascii="Cambria" w:hAnsi="Cambria" w:cs="Times New Roman"/>
                                  <w:i/>
                                  <w:sz w:val="24"/>
                                  <w:szCs w:val="24"/>
                                </w:rPr>
                                <w:t>Governor</w:t>
                              </w:r>
                            </w:p>
                            <w:p w14:paraId="37391FBF" w14:textId="77777777" w:rsidR="002F0F61" w:rsidRPr="00B91870" w:rsidRDefault="002F0F61" w:rsidP="00DF5ED5">
                              <w:pPr>
                                <w:pStyle w:val="NoSpacing"/>
                                <w:jc w:val="center"/>
                                <w:rPr>
                                  <w:rFonts w:ascii="Cambria" w:hAnsi="Cambria" w:cs="Times New Roman"/>
                                  <w:i/>
                                  <w:sz w:val="24"/>
                                  <w:szCs w:val="24"/>
                                </w:rPr>
                              </w:pPr>
                              <w:r w:rsidRPr="00B91870">
                                <w:rPr>
                                  <w:rFonts w:ascii="Cambria" w:hAnsi="Cambria" w:cs="Times New Roman"/>
                                  <w:i/>
                                  <w:sz w:val="24"/>
                                  <w:szCs w:val="24"/>
                                </w:rPr>
                                <w:t>State of Nevada</w:t>
                              </w:r>
                            </w:p>
                          </w:txbxContent>
                        </wps:txbx>
                        <wps:bodyPr rot="0" vert="horz" wrap="square" lIns="91440" tIns="45720" rIns="91440" bIns="45720" anchor="t" anchorCtr="0">
                          <a:noAutofit/>
                        </wps:bodyPr>
                      </wps:wsp>
                      <wps:wsp>
                        <wps:cNvPr id="82" name="Text Box 2"/>
                        <wps:cNvSpPr txBox="1">
                          <a:spLocks noChangeArrowheads="1"/>
                        </wps:cNvSpPr>
                        <wps:spPr bwMode="auto">
                          <a:xfrm>
                            <a:off x="210868" y="824162"/>
                            <a:ext cx="3084830" cy="584578"/>
                          </a:xfrm>
                          <a:prstGeom prst="rect">
                            <a:avLst/>
                          </a:prstGeom>
                          <a:solidFill>
                            <a:srgbClr val="FFFFFF"/>
                          </a:solidFill>
                          <a:ln w="9525">
                            <a:noFill/>
                            <a:miter lim="800000"/>
                            <a:headEnd/>
                            <a:tailEnd/>
                          </a:ln>
                        </wps:spPr>
                        <wps:txbx>
                          <w:txbxContent>
                            <w:p w14:paraId="475AAB74" w14:textId="77777777" w:rsidR="002F0F61" w:rsidRPr="00B91870" w:rsidRDefault="002F0F61" w:rsidP="00DF5ED5">
                              <w:pPr>
                                <w:pStyle w:val="NoSpacing"/>
                                <w:jc w:val="center"/>
                                <w:rPr>
                                  <w:rFonts w:ascii="Cambria" w:hAnsi="Cambria" w:cs="Times New Roman"/>
                                  <w:b/>
                                  <w:sz w:val="24"/>
                                  <w:szCs w:val="24"/>
                                </w:rPr>
                              </w:pPr>
                              <w:r w:rsidRPr="00B91870">
                                <w:rPr>
                                  <w:rFonts w:ascii="Cambria" w:hAnsi="Cambria" w:cs="Times New Roman"/>
                                  <w:b/>
                                  <w:sz w:val="24"/>
                                  <w:szCs w:val="24"/>
                                </w:rPr>
                                <w:t>Richard Whitley, MS</w:t>
                              </w:r>
                            </w:p>
                            <w:p w14:paraId="7C7054AF" w14:textId="77777777" w:rsidR="002F0F61" w:rsidRPr="00B91870" w:rsidRDefault="002F0F61" w:rsidP="00DF5ED5">
                              <w:pPr>
                                <w:pStyle w:val="NoSpacing"/>
                                <w:jc w:val="center"/>
                                <w:rPr>
                                  <w:rFonts w:ascii="Cambria" w:hAnsi="Cambria" w:cs="Times New Roman"/>
                                  <w:i/>
                                  <w:sz w:val="24"/>
                                  <w:szCs w:val="24"/>
                                </w:rPr>
                              </w:pPr>
                              <w:r w:rsidRPr="00B91870">
                                <w:rPr>
                                  <w:rFonts w:ascii="Cambria" w:hAnsi="Cambria" w:cs="Times New Roman"/>
                                  <w:i/>
                                  <w:sz w:val="24"/>
                                  <w:szCs w:val="24"/>
                                </w:rPr>
                                <w:t>Director</w:t>
                              </w:r>
                            </w:p>
                            <w:p w14:paraId="7C6DABB7" w14:textId="77777777" w:rsidR="002F0F61" w:rsidRPr="00B91870" w:rsidRDefault="002F0F61" w:rsidP="00DF5ED5">
                              <w:pPr>
                                <w:pStyle w:val="NoSpacing"/>
                                <w:jc w:val="center"/>
                                <w:rPr>
                                  <w:rFonts w:ascii="Cambria" w:hAnsi="Cambria" w:cs="Times New Roman"/>
                                  <w:i/>
                                  <w:sz w:val="24"/>
                                  <w:szCs w:val="24"/>
                                </w:rPr>
                              </w:pPr>
                              <w:r w:rsidRPr="00B91870">
                                <w:rPr>
                                  <w:rFonts w:ascii="Cambria" w:hAnsi="Cambria" w:cs="Times New Roman"/>
                                  <w:i/>
                                  <w:sz w:val="24"/>
                                  <w:szCs w:val="24"/>
                                </w:rPr>
                                <w:t>Department of Health and Human Services</w:t>
                              </w:r>
                            </w:p>
                          </w:txbxContent>
                        </wps:txbx>
                        <wps:bodyPr rot="0" vert="horz" wrap="square" lIns="91440" tIns="45720" rIns="91440" bIns="45720" anchor="t" anchorCtr="0">
                          <a:noAutofit/>
                        </wps:bodyPr>
                      </wps:wsp>
                      <wps:wsp>
                        <wps:cNvPr id="83" name="Text Box 2"/>
                        <wps:cNvSpPr txBox="1">
                          <a:spLocks noChangeArrowheads="1"/>
                        </wps:cNvSpPr>
                        <wps:spPr bwMode="auto">
                          <a:xfrm>
                            <a:off x="3713369" y="-23751"/>
                            <a:ext cx="2985641" cy="647700"/>
                          </a:xfrm>
                          <a:prstGeom prst="rect">
                            <a:avLst/>
                          </a:prstGeom>
                          <a:solidFill>
                            <a:srgbClr val="FFFFFF"/>
                          </a:solidFill>
                          <a:ln w="9525">
                            <a:noFill/>
                            <a:miter lim="800000"/>
                            <a:headEnd/>
                            <a:tailEnd/>
                          </a:ln>
                        </wps:spPr>
                        <wps:txbx>
                          <w:txbxContent>
                            <w:p w14:paraId="637C504F" w14:textId="646BF82B" w:rsidR="002F0F61" w:rsidRPr="00B91870" w:rsidRDefault="002F0F61" w:rsidP="00DF5ED5">
                              <w:pPr>
                                <w:pStyle w:val="NoSpacing"/>
                                <w:jc w:val="center"/>
                                <w:rPr>
                                  <w:rFonts w:ascii="Cambria" w:hAnsi="Cambria" w:cs="Arial"/>
                                  <w:b/>
                                  <w:sz w:val="24"/>
                                  <w:szCs w:val="24"/>
                                </w:rPr>
                              </w:pPr>
                              <w:r w:rsidRPr="00B91870">
                                <w:rPr>
                                  <w:rFonts w:ascii="Cambria" w:hAnsi="Cambria" w:cs="Arial"/>
                                  <w:b/>
                                  <w:sz w:val="24"/>
                                  <w:szCs w:val="24"/>
                                </w:rPr>
                                <w:t>Lisa Sherych</w:t>
                              </w:r>
                            </w:p>
                            <w:p w14:paraId="01529B47" w14:textId="0416546A" w:rsidR="002F0F61" w:rsidRPr="00B91870" w:rsidRDefault="002F0F61" w:rsidP="00DF5ED5">
                              <w:pPr>
                                <w:pStyle w:val="NoSpacing"/>
                                <w:jc w:val="center"/>
                                <w:rPr>
                                  <w:rFonts w:ascii="Cambria" w:hAnsi="Cambria" w:cs="Times New Roman"/>
                                  <w:i/>
                                  <w:sz w:val="24"/>
                                  <w:szCs w:val="24"/>
                                </w:rPr>
                              </w:pPr>
                              <w:r w:rsidRPr="00B91870">
                                <w:rPr>
                                  <w:rFonts w:ascii="Cambria" w:hAnsi="Cambria" w:cs="Times New Roman"/>
                                  <w:i/>
                                  <w:sz w:val="24"/>
                                  <w:szCs w:val="24"/>
                                </w:rPr>
                                <w:t>Administrator</w:t>
                              </w:r>
                            </w:p>
                            <w:p w14:paraId="591B9988" w14:textId="77777777" w:rsidR="002F0F61" w:rsidRPr="00B91870" w:rsidRDefault="002F0F61" w:rsidP="00DF5ED5">
                              <w:pPr>
                                <w:pStyle w:val="NoSpacing"/>
                                <w:jc w:val="center"/>
                                <w:rPr>
                                  <w:rFonts w:ascii="Cambria" w:hAnsi="Cambria" w:cs="Times New Roman"/>
                                  <w:i/>
                                  <w:sz w:val="24"/>
                                  <w:szCs w:val="24"/>
                                </w:rPr>
                              </w:pPr>
                              <w:r w:rsidRPr="00B91870">
                                <w:rPr>
                                  <w:rFonts w:ascii="Cambria" w:hAnsi="Cambria" w:cs="Times New Roman"/>
                                  <w:i/>
                                  <w:sz w:val="24"/>
                                  <w:szCs w:val="24"/>
                                </w:rPr>
                                <w:t>Division of Public and Behavioral Health</w:t>
                              </w:r>
                            </w:p>
                          </w:txbxContent>
                        </wps:txbx>
                        <wps:bodyPr rot="0" vert="horz" wrap="square" lIns="91440" tIns="45720" rIns="91440" bIns="45720" anchor="t" anchorCtr="0">
                          <a:noAutofit/>
                        </wps:bodyPr>
                      </wps:wsp>
                      <wps:wsp>
                        <wps:cNvPr id="85" name="Text Box 2"/>
                        <wps:cNvSpPr txBox="1">
                          <a:spLocks noChangeArrowheads="1"/>
                        </wps:cNvSpPr>
                        <wps:spPr bwMode="auto">
                          <a:xfrm>
                            <a:off x="3771909" y="811996"/>
                            <a:ext cx="2988061" cy="584370"/>
                          </a:xfrm>
                          <a:prstGeom prst="rect">
                            <a:avLst/>
                          </a:prstGeom>
                          <a:solidFill>
                            <a:srgbClr val="FFFFFF"/>
                          </a:solidFill>
                          <a:ln w="9525">
                            <a:noFill/>
                            <a:miter lim="800000"/>
                            <a:headEnd/>
                            <a:tailEnd/>
                          </a:ln>
                        </wps:spPr>
                        <wps:txbx>
                          <w:txbxContent>
                            <w:p w14:paraId="6203C419" w14:textId="4CC46447" w:rsidR="002F0F61" w:rsidRPr="00B91870" w:rsidRDefault="002F0F61" w:rsidP="00DF5ED5">
                              <w:pPr>
                                <w:pStyle w:val="NoSpacing"/>
                                <w:jc w:val="center"/>
                                <w:rPr>
                                  <w:rFonts w:ascii="Cambria" w:hAnsi="Cambria" w:cs="Times New Roman"/>
                                  <w:b/>
                                  <w:sz w:val="24"/>
                                  <w:szCs w:val="24"/>
                                </w:rPr>
                              </w:pPr>
                              <w:r w:rsidRPr="00B91870">
                                <w:rPr>
                                  <w:rFonts w:ascii="Cambria" w:hAnsi="Cambria" w:cs="Times New Roman"/>
                                  <w:b/>
                                  <w:sz w:val="24"/>
                                  <w:szCs w:val="24"/>
                                </w:rPr>
                                <w:t>Ihsan Azzam, PhD, MD</w:t>
                              </w:r>
                            </w:p>
                            <w:p w14:paraId="4586ECB1" w14:textId="2A97C1BF" w:rsidR="002F0F61" w:rsidRPr="00B91870" w:rsidRDefault="002F0F61" w:rsidP="00DF5ED5">
                              <w:pPr>
                                <w:pStyle w:val="NoSpacing"/>
                                <w:jc w:val="center"/>
                                <w:rPr>
                                  <w:rFonts w:ascii="Cambria" w:hAnsi="Cambria" w:cs="Times New Roman"/>
                                  <w:i/>
                                  <w:sz w:val="24"/>
                                  <w:szCs w:val="24"/>
                                </w:rPr>
                              </w:pPr>
                              <w:r w:rsidRPr="00B91870">
                                <w:rPr>
                                  <w:rFonts w:ascii="Cambria" w:hAnsi="Cambria" w:cs="Times New Roman"/>
                                  <w:i/>
                                  <w:sz w:val="24"/>
                                  <w:szCs w:val="24"/>
                                </w:rPr>
                                <w:t>Chief Medical Officer</w:t>
                              </w:r>
                            </w:p>
                            <w:p w14:paraId="64331492" w14:textId="77777777" w:rsidR="002F0F61" w:rsidRPr="00B91870" w:rsidRDefault="002F0F61" w:rsidP="00DF5ED5">
                              <w:pPr>
                                <w:pStyle w:val="NoSpacing"/>
                                <w:jc w:val="center"/>
                                <w:rPr>
                                  <w:rFonts w:ascii="Cambria" w:hAnsi="Cambria" w:cs="Times New Roman"/>
                                  <w:i/>
                                  <w:sz w:val="24"/>
                                  <w:szCs w:val="24"/>
                                </w:rPr>
                              </w:pPr>
                              <w:r w:rsidRPr="00B91870">
                                <w:rPr>
                                  <w:rFonts w:ascii="Cambria" w:hAnsi="Cambria" w:cs="Times New Roman"/>
                                  <w:i/>
                                  <w:sz w:val="24"/>
                                  <w:szCs w:val="24"/>
                                </w:rPr>
                                <w:t>Division of Public and Behavioral Health</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F24579A" id="Group 90" o:spid="_x0000_s1026" style="position:absolute;margin-left:5.75pt;margin-top:50.55pt;width:522.7pt;height:126.35pt;z-index:251660288;mso-position-horizontal-relative:margin;mso-width-relative:margin;mso-height-relative:margin" coordorigin="2108,-237" coordsize="65491,1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FH7KwMAADwNAAAOAAAAZHJzL2Uyb0RvYy54bWzsV9tunDAQfa/Uf7D8nnBnAYWN0txUKW0j&#10;Jf0AL5iLCja1vYH06zu2YbNJ31JV2qbdB9ZjD+OZM2fG5uR06jv0QIVsOcuxd+xiRFnBy5bVOf56&#10;f3WUYCQVYSXpOKM5fqQSn67fvzsZh4z6vOFdSQUCI0xm45DjRqkhcxxZNLQn8pgPlMFixUVPFIii&#10;dkpBRrDed47vurEzclEOghdUSpi9sIt4bexXFS3Ul6qSVKEux+CbMk9hnhv9dNYnJKsFGZq2mN0g&#10;r/CiJy2DTXemLogiaCvaX0z1bSG45JU6Lnjv8KpqC2pigGg890U014JvBxNLnY31sIMJoH2B06vN&#10;Fp8fbgVqyxynAA8jPeTIbItABnDGoc5A51oMd8OtmCdqK+l4p0r0+h8iQZOB9XEHK50UKmAyjoMk&#10;8FKMCljzYjcMo8ACXzSQHf2e77lJDFQBhSM/WEXesn652IjC1HP92UYY+CBqHWdxwdGe7hwbB6CT&#10;fEJM/h5idw0ZqEmE1GjMiAXuaoHsXsf6gU/I107p3UFNI4bUBNMQtmGHHG548U0ixs8bwmp6JgQf&#10;G0pK8M+Gs/eqtSO1kc34iZeQGbJV3Bh6AbuGLwFwZvjC1MK3JCBwkzDx5wTE4SqMjcIOO5INQqpr&#10;ynukBzkWUDdmH/JwI5WFeVHR2Za8a8urtuuMIOrNeSfQA4EauzK/OTPP1DqGRmBZ5EfGMuP6fTBN&#10;sr5V0AO6ts9x4uqf9V7jcslKo6JI29kxON0xyLsGSmNjUVLTZpqB3/DyESAT3NY69CYYNFz8wGiE&#10;Os+x/L4lgmLUfWQAe+qFoW4MRgijlQ+C2F/Z7K8QVoCpHCuM7PBcmWaiw2D8DNJTtQYv7Z71ZPYV&#10;2Ghd/eO01ESwhXwArJyLOvFDLza1QbJnrAwAbt0WogSwT2beLOxeKPc3s9L0VlPbT5T4l8kZHAg5&#10;g5UXBNAHl565HDkLO/00ieLQs+yEnrmybemN9UzDzt2Z9b91RgfDzpWXupadieelafz8RAd2Jm48&#10;sxN6Z7Ayh+ZbZKe5Kh567zS3T7iimwvp/DmhvwH2ZXMReProWf8EAAD//wMAUEsDBBQABgAIAAAA&#10;IQCr71ww4AAAAAsBAAAPAAAAZHJzL2Rvd25yZXYueG1sTI/BasMwDIbvg72DUWG31fZCSpfGKaVs&#10;O5XB2sHYzY3VJDS2Q+wm6dtPPa0n8aOPX5/y9WRbNmAfGu8UyLkAhq70pnGVgu/D+/MSWIjaGd16&#10;hwquGGBdPD7kOjN+dF847GPFqMSFTCuoY+wyzkNZo9Vh7jt0tDv53upIsa+46fVI5bblL0IsuNWN&#10;owu17nBbY3neX6yCj1GPm0S+DbvzaXv9PaSfPzuJSj3Nps0KWMQp/sNw0yd1KMjp6C/OBNZSlimR&#10;NIWUwG6ASBevwI4KkjRZAi9yfv9D8QcAAP//AwBQSwECLQAUAAYACAAAACEAtoM4kv4AAADhAQAA&#10;EwAAAAAAAAAAAAAAAAAAAAAAW0NvbnRlbnRfVHlwZXNdLnhtbFBLAQItABQABgAIAAAAIQA4/SH/&#10;1gAAAJQBAAALAAAAAAAAAAAAAAAAAC8BAABfcmVscy8ucmVsc1BLAQItABQABgAIAAAAIQA0IFH7&#10;KwMAADwNAAAOAAAAAAAAAAAAAAAAAC4CAABkcnMvZTJvRG9jLnhtbFBLAQItABQABgAIAAAAIQCr&#10;71ww4AAAAAsBAAAPAAAAAAAAAAAAAAAAAIUFAABkcnMvZG93bnJldi54bWxQSwUGAAAAAAQABADz&#10;AAAAkgYAAAAA&#10;">
                <v:shapetype id="_x0000_t202" coordsize="21600,21600" o:spt="202" path="m,l,21600r21600,l21600,xe">
                  <v:stroke joinstyle="miter"/>
                  <v:path gradientshapeok="t" o:connecttype="rect"/>
                </v:shapetype>
                <v:shape id="Text Box 2" o:spid="_x0000_s1027" type="#_x0000_t202" style="position:absolute;left:2108;top:-237;width:30849;height:6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14:paraId="2186F976" w14:textId="17592CC5" w:rsidR="002F0F61" w:rsidRPr="00B91870" w:rsidRDefault="002F0F61" w:rsidP="00DF5ED5">
                        <w:pPr>
                          <w:pStyle w:val="NoSpacing"/>
                          <w:jc w:val="center"/>
                          <w:rPr>
                            <w:rFonts w:ascii="Cambria" w:hAnsi="Cambria" w:cs="Times New Roman"/>
                            <w:b/>
                            <w:sz w:val="24"/>
                            <w:szCs w:val="24"/>
                          </w:rPr>
                        </w:pPr>
                        <w:r w:rsidRPr="00B91870">
                          <w:rPr>
                            <w:rFonts w:ascii="Cambria" w:hAnsi="Cambria" w:cs="Times New Roman"/>
                            <w:b/>
                            <w:sz w:val="24"/>
                            <w:szCs w:val="24"/>
                          </w:rPr>
                          <w:t>Steve Sisolak</w:t>
                        </w:r>
                      </w:p>
                      <w:p w14:paraId="521CD58B" w14:textId="77777777" w:rsidR="002F0F61" w:rsidRPr="00B91870" w:rsidRDefault="002F0F61" w:rsidP="00DF5ED5">
                        <w:pPr>
                          <w:pStyle w:val="NoSpacing"/>
                          <w:jc w:val="center"/>
                          <w:rPr>
                            <w:rFonts w:ascii="Cambria" w:hAnsi="Cambria" w:cs="Times New Roman"/>
                            <w:i/>
                            <w:sz w:val="24"/>
                            <w:szCs w:val="24"/>
                          </w:rPr>
                        </w:pPr>
                        <w:r w:rsidRPr="00B91870">
                          <w:rPr>
                            <w:rFonts w:ascii="Cambria" w:hAnsi="Cambria" w:cs="Times New Roman"/>
                            <w:i/>
                            <w:sz w:val="24"/>
                            <w:szCs w:val="24"/>
                          </w:rPr>
                          <w:t>Governor</w:t>
                        </w:r>
                      </w:p>
                      <w:p w14:paraId="37391FBF" w14:textId="77777777" w:rsidR="002F0F61" w:rsidRPr="00B91870" w:rsidRDefault="002F0F61" w:rsidP="00DF5ED5">
                        <w:pPr>
                          <w:pStyle w:val="NoSpacing"/>
                          <w:jc w:val="center"/>
                          <w:rPr>
                            <w:rFonts w:ascii="Cambria" w:hAnsi="Cambria" w:cs="Times New Roman"/>
                            <w:i/>
                            <w:sz w:val="24"/>
                            <w:szCs w:val="24"/>
                          </w:rPr>
                        </w:pPr>
                        <w:r w:rsidRPr="00B91870">
                          <w:rPr>
                            <w:rFonts w:ascii="Cambria" w:hAnsi="Cambria" w:cs="Times New Roman"/>
                            <w:i/>
                            <w:sz w:val="24"/>
                            <w:szCs w:val="24"/>
                          </w:rPr>
                          <w:t>State of Nevada</w:t>
                        </w:r>
                      </w:p>
                    </w:txbxContent>
                  </v:textbox>
                </v:shape>
                <v:shape id="Text Box 2" o:spid="_x0000_s1028" type="#_x0000_t202" style="position:absolute;left:2108;top:8241;width:30848;height:5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VUWwQAAANsAAAAPAAAAZHJzL2Rvd25yZXYueG1sRI/dqsIw&#10;EITvBd8hrOCNaKp4/KlGUUHx1p8HWJu1LTab0kRb394IwrkcZuYbZrluTCFeVLncsoLhIAJBnFid&#10;c6rgetn3ZyCcR9ZYWCYFb3KwXrVbS4y1rflEr7NPRYCwi1FB5n0ZS+mSjAy6gS2Jg3e3lUEfZJVK&#10;XWEd4KaQoyiaSIM5h4UMS9pllDzOT6Pgfqx7f/P6dvDX6Wk82WI+vdm3Ut1Os1mA8NT4//CvfdQK&#10;ZiP4fgk/QK4+AAAA//8DAFBLAQItABQABgAIAAAAIQDb4fbL7gAAAIUBAAATAAAAAAAAAAAAAAAA&#10;AAAAAABbQ29udGVudF9UeXBlc10ueG1sUEsBAi0AFAAGAAgAAAAhAFr0LFu/AAAAFQEAAAsAAAAA&#10;AAAAAAAAAAAAHwEAAF9yZWxzLy5yZWxzUEsBAi0AFAAGAAgAAAAhAPr1VRbBAAAA2wAAAA8AAAAA&#10;AAAAAAAAAAAABwIAAGRycy9kb3ducmV2LnhtbFBLBQYAAAAAAwADALcAAAD1AgAAAAA=&#10;" stroked="f">
                  <v:textbox>
                    <w:txbxContent>
                      <w:p w14:paraId="475AAB74" w14:textId="77777777" w:rsidR="002F0F61" w:rsidRPr="00B91870" w:rsidRDefault="002F0F61" w:rsidP="00DF5ED5">
                        <w:pPr>
                          <w:pStyle w:val="NoSpacing"/>
                          <w:jc w:val="center"/>
                          <w:rPr>
                            <w:rFonts w:ascii="Cambria" w:hAnsi="Cambria" w:cs="Times New Roman"/>
                            <w:b/>
                            <w:sz w:val="24"/>
                            <w:szCs w:val="24"/>
                          </w:rPr>
                        </w:pPr>
                        <w:r w:rsidRPr="00B91870">
                          <w:rPr>
                            <w:rFonts w:ascii="Cambria" w:hAnsi="Cambria" w:cs="Times New Roman"/>
                            <w:b/>
                            <w:sz w:val="24"/>
                            <w:szCs w:val="24"/>
                          </w:rPr>
                          <w:t>Richard Whitley, MS</w:t>
                        </w:r>
                      </w:p>
                      <w:p w14:paraId="7C7054AF" w14:textId="77777777" w:rsidR="002F0F61" w:rsidRPr="00B91870" w:rsidRDefault="002F0F61" w:rsidP="00DF5ED5">
                        <w:pPr>
                          <w:pStyle w:val="NoSpacing"/>
                          <w:jc w:val="center"/>
                          <w:rPr>
                            <w:rFonts w:ascii="Cambria" w:hAnsi="Cambria" w:cs="Times New Roman"/>
                            <w:i/>
                            <w:sz w:val="24"/>
                            <w:szCs w:val="24"/>
                          </w:rPr>
                        </w:pPr>
                        <w:r w:rsidRPr="00B91870">
                          <w:rPr>
                            <w:rFonts w:ascii="Cambria" w:hAnsi="Cambria" w:cs="Times New Roman"/>
                            <w:i/>
                            <w:sz w:val="24"/>
                            <w:szCs w:val="24"/>
                          </w:rPr>
                          <w:t>Director</w:t>
                        </w:r>
                      </w:p>
                      <w:p w14:paraId="7C6DABB7" w14:textId="77777777" w:rsidR="002F0F61" w:rsidRPr="00B91870" w:rsidRDefault="002F0F61" w:rsidP="00DF5ED5">
                        <w:pPr>
                          <w:pStyle w:val="NoSpacing"/>
                          <w:jc w:val="center"/>
                          <w:rPr>
                            <w:rFonts w:ascii="Cambria" w:hAnsi="Cambria" w:cs="Times New Roman"/>
                            <w:i/>
                            <w:sz w:val="24"/>
                            <w:szCs w:val="24"/>
                          </w:rPr>
                        </w:pPr>
                        <w:r w:rsidRPr="00B91870">
                          <w:rPr>
                            <w:rFonts w:ascii="Cambria" w:hAnsi="Cambria" w:cs="Times New Roman"/>
                            <w:i/>
                            <w:sz w:val="24"/>
                            <w:szCs w:val="24"/>
                          </w:rPr>
                          <w:t>Department of Health and Human Services</w:t>
                        </w:r>
                      </w:p>
                    </w:txbxContent>
                  </v:textbox>
                </v:shape>
                <v:shape id="Text Box 2" o:spid="_x0000_s1029" type="#_x0000_t202" style="position:absolute;left:37133;top:-237;width:29857;height:6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fCNwQAAANsAAAAPAAAAZHJzL2Rvd25yZXYueG1sRI/disIw&#10;FITvBd8hHMEb0dT1vxplFVa89ecBjs2xLTYnpYm2vv1GELwcZuYbZrVpTCGeVLncsoLhIAJBnFid&#10;c6rgcv7rz0E4j6yxsEwKXuRgs263VhhrW/ORniefigBhF6OCzPsyltIlGRl0A1sSB+9mK4M+yCqV&#10;usI6wE0hf6JoKg3mHBYyLGmXUXI/PYyC26HuTRb1de8vs+N4usV8drUvpbqd5ncJwlPjv+FP+6AV&#10;zEfw/hJ+gFz/AwAA//8DAFBLAQItABQABgAIAAAAIQDb4fbL7gAAAIUBAAATAAAAAAAAAAAAAAAA&#10;AAAAAABbQ29udGVudF9UeXBlc10ueG1sUEsBAi0AFAAGAAgAAAAhAFr0LFu/AAAAFQEAAAsAAAAA&#10;AAAAAAAAAAAAHwEAAF9yZWxzLy5yZWxzUEsBAi0AFAAGAAgAAAAhAJW58I3BAAAA2wAAAA8AAAAA&#10;AAAAAAAAAAAABwIAAGRycy9kb3ducmV2LnhtbFBLBQYAAAAAAwADALcAAAD1AgAAAAA=&#10;" stroked="f">
                  <v:textbox>
                    <w:txbxContent>
                      <w:p w14:paraId="637C504F" w14:textId="646BF82B" w:rsidR="002F0F61" w:rsidRPr="00B91870" w:rsidRDefault="002F0F61" w:rsidP="00DF5ED5">
                        <w:pPr>
                          <w:pStyle w:val="NoSpacing"/>
                          <w:jc w:val="center"/>
                          <w:rPr>
                            <w:rFonts w:ascii="Cambria" w:hAnsi="Cambria" w:cs="Arial"/>
                            <w:b/>
                            <w:sz w:val="24"/>
                            <w:szCs w:val="24"/>
                          </w:rPr>
                        </w:pPr>
                        <w:r w:rsidRPr="00B91870">
                          <w:rPr>
                            <w:rFonts w:ascii="Cambria" w:hAnsi="Cambria" w:cs="Arial"/>
                            <w:b/>
                            <w:sz w:val="24"/>
                            <w:szCs w:val="24"/>
                          </w:rPr>
                          <w:t>Lisa Sherych</w:t>
                        </w:r>
                      </w:p>
                      <w:p w14:paraId="01529B47" w14:textId="0416546A" w:rsidR="002F0F61" w:rsidRPr="00B91870" w:rsidRDefault="002F0F61" w:rsidP="00DF5ED5">
                        <w:pPr>
                          <w:pStyle w:val="NoSpacing"/>
                          <w:jc w:val="center"/>
                          <w:rPr>
                            <w:rFonts w:ascii="Cambria" w:hAnsi="Cambria" w:cs="Times New Roman"/>
                            <w:i/>
                            <w:sz w:val="24"/>
                            <w:szCs w:val="24"/>
                          </w:rPr>
                        </w:pPr>
                        <w:r w:rsidRPr="00B91870">
                          <w:rPr>
                            <w:rFonts w:ascii="Cambria" w:hAnsi="Cambria" w:cs="Times New Roman"/>
                            <w:i/>
                            <w:sz w:val="24"/>
                            <w:szCs w:val="24"/>
                          </w:rPr>
                          <w:t>Administrator</w:t>
                        </w:r>
                      </w:p>
                      <w:p w14:paraId="591B9988" w14:textId="77777777" w:rsidR="002F0F61" w:rsidRPr="00B91870" w:rsidRDefault="002F0F61" w:rsidP="00DF5ED5">
                        <w:pPr>
                          <w:pStyle w:val="NoSpacing"/>
                          <w:jc w:val="center"/>
                          <w:rPr>
                            <w:rFonts w:ascii="Cambria" w:hAnsi="Cambria" w:cs="Times New Roman"/>
                            <w:i/>
                            <w:sz w:val="24"/>
                            <w:szCs w:val="24"/>
                          </w:rPr>
                        </w:pPr>
                        <w:r w:rsidRPr="00B91870">
                          <w:rPr>
                            <w:rFonts w:ascii="Cambria" w:hAnsi="Cambria" w:cs="Times New Roman"/>
                            <w:i/>
                            <w:sz w:val="24"/>
                            <w:szCs w:val="24"/>
                          </w:rPr>
                          <w:t>Division of Public and Behavioral Health</w:t>
                        </w:r>
                      </w:p>
                    </w:txbxContent>
                  </v:textbox>
                </v:shape>
                <v:shape id="Text Box 2" o:spid="_x0000_s1030" type="#_x0000_t202" style="position:absolute;left:37719;top:8119;width:29880;height:5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M1iwQAAANsAAAAPAAAAZHJzL2Rvd25yZXYueG1sRI/dqsIw&#10;EITvBd8hrOCNaKoc/6pRVDjirT8PsDZrW2w2pYm2vr0RBC+HmfmGWa4bU4gnVS63rGA4iEAQJ1bn&#10;nCq4nP/7MxDOI2ssLJOCFzlYr9qtJcba1nyk58mnIkDYxagg876MpXRJRgbdwJbEwbvZyqAPskql&#10;rrAOcFPIURRNpMGcw0KGJe0ySu6nh1FwO9S98by+7v1levybbDGfXu1LqW6n2SxAeGr8L/xtH7SC&#10;2Rg+X8IPkKs3AAAA//8DAFBLAQItABQABgAIAAAAIQDb4fbL7gAAAIUBAAATAAAAAAAAAAAAAAAA&#10;AAAAAABbQ29udGVudF9UeXBlc10ueG1sUEsBAi0AFAAGAAgAAAAhAFr0LFu/AAAAFQEAAAsAAAAA&#10;AAAAAAAAAAAAHwEAAF9yZWxzLy5yZWxzUEsBAi0AFAAGAAgAAAAhAHUczWLBAAAA2wAAAA8AAAAA&#10;AAAAAAAAAAAABwIAAGRycy9kb3ducmV2LnhtbFBLBQYAAAAAAwADALcAAAD1AgAAAAA=&#10;" stroked="f">
                  <v:textbox>
                    <w:txbxContent>
                      <w:p w14:paraId="6203C419" w14:textId="4CC46447" w:rsidR="002F0F61" w:rsidRPr="00B91870" w:rsidRDefault="002F0F61" w:rsidP="00DF5ED5">
                        <w:pPr>
                          <w:pStyle w:val="NoSpacing"/>
                          <w:jc w:val="center"/>
                          <w:rPr>
                            <w:rFonts w:ascii="Cambria" w:hAnsi="Cambria" w:cs="Times New Roman"/>
                            <w:b/>
                            <w:sz w:val="24"/>
                            <w:szCs w:val="24"/>
                          </w:rPr>
                        </w:pPr>
                        <w:r w:rsidRPr="00B91870">
                          <w:rPr>
                            <w:rFonts w:ascii="Cambria" w:hAnsi="Cambria" w:cs="Times New Roman"/>
                            <w:b/>
                            <w:sz w:val="24"/>
                            <w:szCs w:val="24"/>
                          </w:rPr>
                          <w:t>Ihsan Azzam, PhD, MD</w:t>
                        </w:r>
                      </w:p>
                      <w:p w14:paraId="4586ECB1" w14:textId="2A97C1BF" w:rsidR="002F0F61" w:rsidRPr="00B91870" w:rsidRDefault="002F0F61" w:rsidP="00DF5ED5">
                        <w:pPr>
                          <w:pStyle w:val="NoSpacing"/>
                          <w:jc w:val="center"/>
                          <w:rPr>
                            <w:rFonts w:ascii="Cambria" w:hAnsi="Cambria" w:cs="Times New Roman"/>
                            <w:i/>
                            <w:sz w:val="24"/>
                            <w:szCs w:val="24"/>
                          </w:rPr>
                        </w:pPr>
                        <w:r w:rsidRPr="00B91870">
                          <w:rPr>
                            <w:rFonts w:ascii="Cambria" w:hAnsi="Cambria" w:cs="Times New Roman"/>
                            <w:i/>
                            <w:sz w:val="24"/>
                            <w:szCs w:val="24"/>
                          </w:rPr>
                          <w:t>Chief Medical Officer</w:t>
                        </w:r>
                      </w:p>
                      <w:p w14:paraId="64331492" w14:textId="77777777" w:rsidR="002F0F61" w:rsidRPr="00B91870" w:rsidRDefault="002F0F61" w:rsidP="00DF5ED5">
                        <w:pPr>
                          <w:pStyle w:val="NoSpacing"/>
                          <w:jc w:val="center"/>
                          <w:rPr>
                            <w:rFonts w:ascii="Cambria" w:hAnsi="Cambria" w:cs="Times New Roman"/>
                            <w:i/>
                            <w:sz w:val="24"/>
                            <w:szCs w:val="24"/>
                          </w:rPr>
                        </w:pPr>
                        <w:r w:rsidRPr="00B91870">
                          <w:rPr>
                            <w:rFonts w:ascii="Cambria" w:hAnsi="Cambria" w:cs="Times New Roman"/>
                            <w:i/>
                            <w:sz w:val="24"/>
                            <w:szCs w:val="24"/>
                          </w:rPr>
                          <w:t>Division of Public and Behavioral Health</w:t>
                        </w:r>
                      </w:p>
                    </w:txbxContent>
                  </v:textbox>
                </v:shape>
                <w10:wrap anchorx="margin"/>
              </v:group>
            </w:pict>
          </mc:Fallback>
        </mc:AlternateContent>
      </w:r>
      <w:r w:rsidR="00DF5ED5" w:rsidRPr="00EB70C1">
        <w:rPr>
          <w:rFonts w:cstheme="minorHAnsi"/>
          <w:i/>
          <w:color w:val="365F91"/>
          <w:sz w:val="40"/>
          <w:szCs w:val="36"/>
        </w:rPr>
        <w:br w:type="page"/>
      </w:r>
    </w:p>
    <w:p w14:paraId="2187ABE5" w14:textId="1D9EFB88" w:rsidR="00D042C1" w:rsidRPr="008E6FA8" w:rsidRDefault="00D042C1" w:rsidP="009259B0">
      <w:pPr>
        <w:pStyle w:val="Heading1STD0"/>
        <w:tabs>
          <w:tab w:val="left" w:pos="9600"/>
        </w:tabs>
        <w:spacing w:before="0" w:after="120"/>
        <w:rPr>
          <w:rFonts w:asciiTheme="minorHAnsi" w:hAnsiTheme="minorHAnsi" w:cstheme="minorHAnsi"/>
          <w:sz w:val="32"/>
          <w:szCs w:val="14"/>
        </w:rPr>
      </w:pPr>
      <w:bookmarkStart w:id="1" w:name="_Toc509486203"/>
      <w:bookmarkStart w:id="2" w:name="_Toc432361451"/>
      <w:bookmarkStart w:id="3" w:name="_Toc433052541"/>
      <w:r w:rsidRPr="00D47E43">
        <w:rPr>
          <w:rFonts w:asciiTheme="minorHAnsi" w:hAnsiTheme="minorHAnsi" w:cstheme="minorHAnsi"/>
          <w:sz w:val="36"/>
          <w:szCs w:val="18"/>
        </w:rPr>
        <w:lastRenderedPageBreak/>
        <w:t>Acknowledgements</w:t>
      </w:r>
      <w:bookmarkEnd w:id="1"/>
      <w:r w:rsidRPr="00EB70C1">
        <w:rPr>
          <w:rFonts w:asciiTheme="minorHAnsi" w:hAnsiTheme="minorHAnsi" w:cstheme="minorHAnsi"/>
        </w:rPr>
        <w:tab/>
      </w:r>
    </w:p>
    <w:p w14:paraId="5D9B932C" w14:textId="50289086" w:rsidR="00CC5C65" w:rsidRPr="00CD22D5" w:rsidRDefault="00CC5C65" w:rsidP="00B91870">
      <w:pPr>
        <w:spacing w:after="0" w:line="240" w:lineRule="auto"/>
        <w:rPr>
          <w:rFonts w:cstheme="minorHAnsi"/>
          <w:b/>
          <w:sz w:val="24"/>
          <w:szCs w:val="24"/>
        </w:rPr>
      </w:pPr>
      <w:r w:rsidRPr="00CD22D5">
        <w:rPr>
          <w:rFonts w:cstheme="minorHAnsi"/>
          <w:b/>
          <w:sz w:val="24"/>
          <w:szCs w:val="24"/>
          <w:u w:val="single"/>
        </w:rPr>
        <w:t>Report Prepared by:</w:t>
      </w:r>
    </w:p>
    <w:p w14:paraId="3CECE30E" w14:textId="77777777" w:rsidR="002D275F" w:rsidRDefault="002D275F" w:rsidP="002D275F">
      <w:pPr>
        <w:spacing w:after="0" w:line="240" w:lineRule="auto"/>
        <w:ind w:left="720"/>
        <w:rPr>
          <w:rFonts w:cstheme="minorHAnsi"/>
          <w:b/>
          <w:sz w:val="24"/>
          <w:szCs w:val="24"/>
        </w:rPr>
      </w:pPr>
      <w:r>
        <w:rPr>
          <w:rFonts w:cstheme="minorHAnsi"/>
          <w:b/>
          <w:sz w:val="24"/>
          <w:szCs w:val="24"/>
        </w:rPr>
        <w:t>Kellie Ducker</w:t>
      </w:r>
    </w:p>
    <w:p w14:paraId="66CF529F" w14:textId="77777777" w:rsidR="002D275F" w:rsidRDefault="002D275F" w:rsidP="002D275F">
      <w:pPr>
        <w:spacing w:after="0" w:line="240" w:lineRule="auto"/>
        <w:ind w:left="720"/>
        <w:rPr>
          <w:rFonts w:cstheme="minorHAnsi"/>
          <w:sz w:val="24"/>
          <w:szCs w:val="24"/>
        </w:rPr>
      </w:pPr>
      <w:r>
        <w:rPr>
          <w:rFonts w:cstheme="minorHAnsi"/>
          <w:sz w:val="24"/>
          <w:szCs w:val="24"/>
        </w:rPr>
        <w:t>Community Wellness Manager</w:t>
      </w:r>
    </w:p>
    <w:p w14:paraId="3AA199FE" w14:textId="77777777" w:rsidR="002D275F" w:rsidRDefault="002D275F" w:rsidP="002D275F">
      <w:pPr>
        <w:spacing w:after="0" w:line="240" w:lineRule="auto"/>
        <w:ind w:left="720"/>
        <w:rPr>
          <w:rFonts w:cstheme="minorHAnsi"/>
          <w:sz w:val="24"/>
          <w:szCs w:val="24"/>
        </w:rPr>
      </w:pPr>
      <w:r>
        <w:rPr>
          <w:rFonts w:cstheme="minorHAnsi"/>
          <w:sz w:val="24"/>
          <w:szCs w:val="24"/>
        </w:rPr>
        <w:t>Chronic Disease Prevention and Health Promotion</w:t>
      </w:r>
      <w:r>
        <w:rPr>
          <w:rFonts w:cstheme="minorHAnsi"/>
          <w:sz w:val="24"/>
          <w:szCs w:val="24"/>
        </w:rPr>
        <w:br/>
        <w:t>Nevada Division of Public and Behavioral Health</w:t>
      </w:r>
    </w:p>
    <w:p w14:paraId="649D8541" w14:textId="77777777" w:rsidR="002D275F" w:rsidRDefault="002D275F" w:rsidP="002D275F">
      <w:pPr>
        <w:spacing w:before="120" w:after="0" w:line="240" w:lineRule="auto"/>
        <w:ind w:left="720"/>
        <w:rPr>
          <w:rFonts w:cstheme="minorHAnsi"/>
          <w:b/>
          <w:sz w:val="24"/>
          <w:szCs w:val="24"/>
        </w:rPr>
      </w:pPr>
      <w:r>
        <w:rPr>
          <w:rFonts w:cstheme="minorHAnsi"/>
          <w:b/>
          <w:sz w:val="24"/>
          <w:szCs w:val="24"/>
        </w:rPr>
        <w:t>Courtney Lococo</w:t>
      </w:r>
    </w:p>
    <w:p w14:paraId="0A0E029B" w14:textId="77777777" w:rsidR="002D275F" w:rsidRDefault="002D275F" w:rsidP="002D275F">
      <w:pPr>
        <w:spacing w:after="0" w:line="240" w:lineRule="auto"/>
        <w:ind w:left="720"/>
        <w:rPr>
          <w:rFonts w:cstheme="minorHAnsi"/>
          <w:sz w:val="24"/>
          <w:szCs w:val="24"/>
        </w:rPr>
      </w:pPr>
      <w:r>
        <w:rPr>
          <w:rFonts w:cstheme="minorHAnsi"/>
          <w:sz w:val="24"/>
          <w:szCs w:val="24"/>
        </w:rPr>
        <w:t>Community Wellness Evaluator</w:t>
      </w:r>
    </w:p>
    <w:p w14:paraId="5686AEAD" w14:textId="77777777" w:rsidR="002D275F" w:rsidRDefault="002D275F" w:rsidP="002D275F">
      <w:pPr>
        <w:spacing w:after="0" w:line="240" w:lineRule="auto"/>
        <w:ind w:left="720"/>
        <w:rPr>
          <w:rFonts w:cstheme="minorHAnsi"/>
          <w:sz w:val="24"/>
          <w:szCs w:val="24"/>
        </w:rPr>
      </w:pPr>
      <w:r>
        <w:rPr>
          <w:rFonts w:cstheme="minorHAnsi"/>
          <w:sz w:val="24"/>
          <w:szCs w:val="24"/>
        </w:rPr>
        <w:t>Chronic Disease Prevention and Health Promotion</w:t>
      </w:r>
      <w:r>
        <w:rPr>
          <w:rFonts w:cstheme="minorHAnsi"/>
          <w:sz w:val="24"/>
          <w:szCs w:val="24"/>
        </w:rPr>
        <w:br/>
        <w:t>Nevada Division of Public and Behavioral Health</w:t>
      </w:r>
    </w:p>
    <w:p w14:paraId="07E80FCC" w14:textId="77777777" w:rsidR="002D275F" w:rsidRDefault="002D275F" w:rsidP="002D275F">
      <w:pPr>
        <w:spacing w:before="120" w:after="0" w:line="240" w:lineRule="auto"/>
        <w:ind w:left="720"/>
        <w:rPr>
          <w:rFonts w:cstheme="minorHAnsi"/>
          <w:b/>
          <w:bCs/>
          <w:sz w:val="24"/>
          <w:szCs w:val="24"/>
        </w:rPr>
      </w:pPr>
      <w:r>
        <w:rPr>
          <w:rFonts w:cstheme="minorHAnsi"/>
          <w:b/>
          <w:bCs/>
          <w:sz w:val="24"/>
          <w:szCs w:val="24"/>
        </w:rPr>
        <w:t>Taliman Afroz</w:t>
      </w:r>
      <w:r>
        <w:rPr>
          <w:rFonts w:cstheme="minorHAnsi"/>
          <w:b/>
          <w:bCs/>
          <w:sz w:val="24"/>
          <w:szCs w:val="24"/>
        </w:rPr>
        <w:tab/>
      </w:r>
    </w:p>
    <w:p w14:paraId="6CB2BCA1" w14:textId="77777777" w:rsidR="002D275F" w:rsidRDefault="002D275F" w:rsidP="002D275F">
      <w:pPr>
        <w:spacing w:after="0" w:line="240" w:lineRule="auto"/>
        <w:ind w:left="720"/>
        <w:rPr>
          <w:rFonts w:cstheme="minorHAnsi"/>
          <w:sz w:val="24"/>
          <w:szCs w:val="24"/>
        </w:rPr>
      </w:pPr>
      <w:r>
        <w:rPr>
          <w:rFonts w:cstheme="minorHAnsi"/>
          <w:sz w:val="24"/>
          <w:szCs w:val="24"/>
        </w:rPr>
        <w:t>Community Wellness Evaluator</w:t>
      </w:r>
    </w:p>
    <w:p w14:paraId="1FFB5D2F" w14:textId="77777777" w:rsidR="002D275F" w:rsidRDefault="002D275F" w:rsidP="002D275F">
      <w:pPr>
        <w:spacing w:after="0" w:line="240" w:lineRule="auto"/>
        <w:ind w:left="720"/>
        <w:rPr>
          <w:rFonts w:cstheme="minorHAnsi"/>
          <w:sz w:val="24"/>
          <w:szCs w:val="24"/>
        </w:rPr>
      </w:pPr>
      <w:r>
        <w:rPr>
          <w:rFonts w:cstheme="minorHAnsi"/>
          <w:sz w:val="24"/>
          <w:szCs w:val="24"/>
        </w:rPr>
        <w:t>Chronic Disease Prevention and Health Promotion</w:t>
      </w:r>
      <w:r>
        <w:rPr>
          <w:rFonts w:cstheme="minorHAnsi"/>
          <w:sz w:val="24"/>
          <w:szCs w:val="24"/>
        </w:rPr>
        <w:br/>
        <w:t>Nevada Division of Public and Behavioral Health</w:t>
      </w:r>
    </w:p>
    <w:p w14:paraId="2F7D8730" w14:textId="77777777" w:rsidR="00560D1D" w:rsidRPr="00CD22D5" w:rsidRDefault="00560D1D" w:rsidP="00CD22D5">
      <w:pPr>
        <w:spacing w:after="0" w:line="240" w:lineRule="auto"/>
        <w:rPr>
          <w:rFonts w:cstheme="minorHAnsi"/>
          <w:sz w:val="24"/>
          <w:szCs w:val="24"/>
        </w:rPr>
      </w:pPr>
    </w:p>
    <w:p w14:paraId="1CE6366E" w14:textId="77777777" w:rsidR="00CC5C65" w:rsidRPr="00CD22D5" w:rsidRDefault="00CC5C65">
      <w:pPr>
        <w:spacing w:after="0" w:line="240" w:lineRule="auto"/>
        <w:rPr>
          <w:rFonts w:cstheme="minorHAnsi"/>
          <w:b/>
          <w:sz w:val="24"/>
          <w:szCs w:val="24"/>
          <w:u w:val="single"/>
        </w:rPr>
      </w:pPr>
      <w:r w:rsidRPr="00CD22D5">
        <w:rPr>
          <w:rFonts w:cstheme="minorHAnsi"/>
          <w:b/>
          <w:sz w:val="24"/>
          <w:szCs w:val="24"/>
          <w:u w:val="single"/>
        </w:rPr>
        <w:t>Editing, Review, and Comments:</w:t>
      </w:r>
    </w:p>
    <w:p w14:paraId="34C11256" w14:textId="77777777" w:rsidR="00B34636" w:rsidRDefault="00B34636" w:rsidP="00B34636">
      <w:pPr>
        <w:spacing w:after="0" w:line="240" w:lineRule="auto"/>
        <w:ind w:left="720"/>
        <w:rPr>
          <w:rFonts w:cstheme="minorHAnsi"/>
          <w:b/>
          <w:sz w:val="24"/>
          <w:szCs w:val="24"/>
        </w:rPr>
      </w:pPr>
      <w:r>
        <w:rPr>
          <w:rFonts w:cstheme="minorHAnsi"/>
          <w:b/>
          <w:sz w:val="24"/>
          <w:szCs w:val="24"/>
        </w:rPr>
        <w:t>Lily Helzer, MPH</w:t>
      </w:r>
    </w:p>
    <w:p w14:paraId="6DE932EC" w14:textId="77777777" w:rsidR="00B34636" w:rsidRDefault="00B34636" w:rsidP="00B34636">
      <w:pPr>
        <w:spacing w:after="0" w:line="240" w:lineRule="auto"/>
        <w:ind w:left="720"/>
        <w:rPr>
          <w:rFonts w:cstheme="minorHAnsi"/>
          <w:sz w:val="24"/>
          <w:szCs w:val="24"/>
        </w:rPr>
      </w:pPr>
      <w:r>
        <w:rPr>
          <w:rFonts w:cstheme="minorHAnsi"/>
          <w:sz w:val="24"/>
          <w:szCs w:val="24"/>
        </w:rPr>
        <w:t>Section Manager</w:t>
      </w:r>
    </w:p>
    <w:p w14:paraId="26538517" w14:textId="77777777" w:rsidR="00B34636" w:rsidRDefault="00B34636" w:rsidP="00B34636">
      <w:pPr>
        <w:spacing w:after="0" w:line="240" w:lineRule="auto"/>
        <w:ind w:left="720"/>
        <w:rPr>
          <w:rFonts w:cstheme="minorHAnsi"/>
          <w:sz w:val="24"/>
          <w:szCs w:val="24"/>
        </w:rPr>
      </w:pPr>
      <w:r>
        <w:rPr>
          <w:rFonts w:cstheme="minorHAnsi"/>
          <w:sz w:val="24"/>
          <w:szCs w:val="24"/>
        </w:rPr>
        <w:t>Chronic Disease Prevention and Health Promotion</w:t>
      </w:r>
      <w:r>
        <w:rPr>
          <w:rFonts w:cstheme="minorHAnsi"/>
          <w:sz w:val="24"/>
          <w:szCs w:val="24"/>
        </w:rPr>
        <w:br/>
        <w:t>Nevada Division of Public and Behavioral Health</w:t>
      </w:r>
    </w:p>
    <w:p w14:paraId="1EE3AB66" w14:textId="49BCD32B" w:rsidR="009F6F30" w:rsidRPr="00CD22D5" w:rsidRDefault="009F6F30" w:rsidP="00B34636">
      <w:pPr>
        <w:spacing w:before="60" w:after="0" w:line="240" w:lineRule="auto"/>
        <w:ind w:left="720"/>
        <w:rPr>
          <w:rFonts w:cstheme="minorHAnsi"/>
          <w:sz w:val="24"/>
          <w:szCs w:val="24"/>
        </w:rPr>
      </w:pPr>
      <w:r w:rsidRPr="00CD22D5">
        <w:rPr>
          <w:rFonts w:cstheme="minorHAnsi"/>
          <w:b/>
          <w:sz w:val="24"/>
          <w:szCs w:val="24"/>
        </w:rPr>
        <w:t>Sarah Metcalf, MPH, NDTR, CLC</w:t>
      </w:r>
    </w:p>
    <w:p w14:paraId="1F3325F3" w14:textId="77777777" w:rsidR="009F6F30" w:rsidRPr="00CD22D5" w:rsidRDefault="009F6F30">
      <w:pPr>
        <w:spacing w:after="0" w:line="240" w:lineRule="auto"/>
        <w:ind w:left="720"/>
        <w:rPr>
          <w:rFonts w:cstheme="minorHAnsi"/>
          <w:sz w:val="24"/>
          <w:szCs w:val="24"/>
        </w:rPr>
      </w:pPr>
      <w:r w:rsidRPr="00CD22D5">
        <w:rPr>
          <w:rFonts w:cstheme="minorHAnsi"/>
          <w:sz w:val="24"/>
          <w:szCs w:val="24"/>
        </w:rPr>
        <w:t>Deputy Bureau Chief</w:t>
      </w:r>
    </w:p>
    <w:p w14:paraId="0843901B" w14:textId="233B8A96" w:rsidR="009F6F30" w:rsidRPr="00CD22D5" w:rsidRDefault="009F6F30" w:rsidP="00560D1D">
      <w:pPr>
        <w:spacing w:after="0" w:line="240" w:lineRule="auto"/>
        <w:ind w:left="720"/>
        <w:rPr>
          <w:rFonts w:cstheme="minorHAnsi"/>
          <w:sz w:val="24"/>
          <w:szCs w:val="24"/>
        </w:rPr>
      </w:pPr>
      <w:r w:rsidRPr="00CD22D5">
        <w:rPr>
          <w:rFonts w:cstheme="minorHAnsi"/>
          <w:sz w:val="24"/>
          <w:szCs w:val="24"/>
        </w:rPr>
        <w:t>Bureau of Child, Family and Community Wellness</w:t>
      </w:r>
      <w:r w:rsidRPr="00CD22D5">
        <w:rPr>
          <w:rFonts w:cstheme="minorHAnsi"/>
          <w:sz w:val="24"/>
          <w:szCs w:val="24"/>
        </w:rPr>
        <w:br/>
        <w:t>Nevada Division of Public and Behavioral Health</w:t>
      </w:r>
    </w:p>
    <w:p w14:paraId="6BA54A68" w14:textId="77777777" w:rsidR="00560D1D" w:rsidRPr="00CD22D5" w:rsidRDefault="00560D1D" w:rsidP="00B91870">
      <w:pPr>
        <w:spacing w:after="0" w:line="240" w:lineRule="auto"/>
        <w:ind w:left="720"/>
        <w:rPr>
          <w:rFonts w:cstheme="minorHAnsi"/>
          <w:sz w:val="24"/>
          <w:szCs w:val="24"/>
        </w:rPr>
      </w:pPr>
    </w:p>
    <w:p w14:paraId="49788759" w14:textId="77777777" w:rsidR="00CC5C65" w:rsidRPr="00CD22D5" w:rsidRDefault="00CC5C65">
      <w:pPr>
        <w:spacing w:after="0" w:line="240" w:lineRule="auto"/>
        <w:rPr>
          <w:rFonts w:cstheme="minorHAnsi"/>
          <w:b/>
          <w:sz w:val="24"/>
          <w:szCs w:val="24"/>
          <w:u w:val="single"/>
        </w:rPr>
      </w:pPr>
      <w:r w:rsidRPr="00CD22D5">
        <w:rPr>
          <w:rFonts w:cstheme="minorHAnsi"/>
          <w:b/>
          <w:sz w:val="24"/>
          <w:szCs w:val="24"/>
          <w:u w:val="single"/>
        </w:rPr>
        <w:t>For Additional Information Contact:</w:t>
      </w:r>
    </w:p>
    <w:p w14:paraId="00247F74" w14:textId="77777777" w:rsidR="002D275F" w:rsidRDefault="002D275F" w:rsidP="002D275F">
      <w:pPr>
        <w:spacing w:after="0" w:line="240" w:lineRule="auto"/>
        <w:ind w:left="720"/>
        <w:rPr>
          <w:rFonts w:cstheme="minorHAnsi"/>
          <w:b/>
          <w:sz w:val="24"/>
          <w:szCs w:val="24"/>
        </w:rPr>
      </w:pPr>
      <w:r>
        <w:rPr>
          <w:rFonts w:cstheme="minorHAnsi"/>
          <w:b/>
          <w:sz w:val="24"/>
          <w:szCs w:val="24"/>
        </w:rPr>
        <w:t>Kellie Ducker</w:t>
      </w:r>
    </w:p>
    <w:p w14:paraId="133A340C" w14:textId="77777777" w:rsidR="002D275F" w:rsidRDefault="002D275F" w:rsidP="002D275F">
      <w:pPr>
        <w:spacing w:after="0" w:line="240" w:lineRule="auto"/>
        <w:ind w:left="720"/>
        <w:rPr>
          <w:rFonts w:cstheme="minorHAnsi"/>
          <w:sz w:val="24"/>
          <w:szCs w:val="24"/>
        </w:rPr>
      </w:pPr>
      <w:r>
        <w:rPr>
          <w:rFonts w:cstheme="minorHAnsi"/>
          <w:sz w:val="24"/>
          <w:szCs w:val="24"/>
        </w:rPr>
        <w:t>Community Wellness Manager</w:t>
      </w:r>
    </w:p>
    <w:p w14:paraId="3AEB7EF6" w14:textId="77777777" w:rsidR="002D275F" w:rsidRDefault="002D275F" w:rsidP="002D275F">
      <w:pPr>
        <w:spacing w:after="0" w:line="240" w:lineRule="auto"/>
        <w:ind w:left="720"/>
        <w:rPr>
          <w:rFonts w:cstheme="minorHAnsi"/>
          <w:sz w:val="24"/>
          <w:szCs w:val="24"/>
        </w:rPr>
      </w:pPr>
      <w:r>
        <w:rPr>
          <w:rFonts w:cstheme="minorHAnsi"/>
          <w:sz w:val="24"/>
          <w:szCs w:val="24"/>
        </w:rPr>
        <w:t>Chronic Disease Prevention and Health Promotion</w:t>
      </w:r>
      <w:r>
        <w:rPr>
          <w:rFonts w:cstheme="minorHAnsi"/>
          <w:sz w:val="24"/>
          <w:szCs w:val="24"/>
        </w:rPr>
        <w:br/>
        <w:t>Nevada Division of Public and Behavioral Health</w:t>
      </w:r>
    </w:p>
    <w:p w14:paraId="2B700BB9" w14:textId="77777777" w:rsidR="00B34636" w:rsidRDefault="00B34636" w:rsidP="00B34636">
      <w:pPr>
        <w:spacing w:before="120" w:after="0" w:line="240" w:lineRule="auto"/>
        <w:ind w:left="720"/>
        <w:rPr>
          <w:rFonts w:cstheme="minorHAnsi"/>
          <w:b/>
          <w:sz w:val="24"/>
          <w:szCs w:val="24"/>
        </w:rPr>
      </w:pPr>
      <w:r>
        <w:rPr>
          <w:rFonts w:cstheme="minorHAnsi"/>
          <w:b/>
          <w:sz w:val="24"/>
          <w:szCs w:val="24"/>
        </w:rPr>
        <w:t>Lily Helzer, MPH</w:t>
      </w:r>
    </w:p>
    <w:p w14:paraId="047E792C" w14:textId="77777777" w:rsidR="00B34636" w:rsidRDefault="00B34636" w:rsidP="00B34636">
      <w:pPr>
        <w:spacing w:after="0" w:line="240" w:lineRule="auto"/>
        <w:ind w:left="720"/>
        <w:rPr>
          <w:rFonts w:cstheme="minorHAnsi"/>
          <w:sz w:val="24"/>
          <w:szCs w:val="24"/>
        </w:rPr>
      </w:pPr>
      <w:r>
        <w:rPr>
          <w:rFonts w:cstheme="minorHAnsi"/>
          <w:sz w:val="24"/>
          <w:szCs w:val="24"/>
        </w:rPr>
        <w:t>Section Manager</w:t>
      </w:r>
    </w:p>
    <w:p w14:paraId="02FB52F9" w14:textId="77777777" w:rsidR="00B34636" w:rsidRDefault="00B34636" w:rsidP="00B34636">
      <w:pPr>
        <w:spacing w:after="0" w:line="240" w:lineRule="auto"/>
        <w:ind w:left="720"/>
        <w:rPr>
          <w:rFonts w:cstheme="minorHAnsi"/>
          <w:sz w:val="24"/>
          <w:szCs w:val="24"/>
        </w:rPr>
      </w:pPr>
      <w:r>
        <w:rPr>
          <w:rFonts w:cstheme="minorHAnsi"/>
          <w:sz w:val="24"/>
          <w:szCs w:val="24"/>
        </w:rPr>
        <w:t>Chronic Disease Prevention and Health Promotion</w:t>
      </w:r>
      <w:r>
        <w:rPr>
          <w:rFonts w:cstheme="minorHAnsi"/>
          <w:sz w:val="24"/>
          <w:szCs w:val="24"/>
        </w:rPr>
        <w:br/>
        <w:t>Nevada Division of Public and Behavioral Health</w:t>
      </w:r>
    </w:p>
    <w:p w14:paraId="76CF0EB8" w14:textId="77777777" w:rsidR="00CD22D5" w:rsidRPr="00CD22D5" w:rsidRDefault="00CD22D5" w:rsidP="00CD22D5">
      <w:pPr>
        <w:spacing w:after="0" w:line="240" w:lineRule="auto"/>
        <w:ind w:left="720"/>
        <w:rPr>
          <w:rFonts w:cstheme="minorHAnsi"/>
          <w:sz w:val="24"/>
          <w:szCs w:val="24"/>
        </w:rPr>
      </w:pPr>
    </w:p>
    <w:p w14:paraId="3E0B024C" w14:textId="6A36CD2A" w:rsidR="00CC5C65" w:rsidRPr="00CD22D5" w:rsidRDefault="00CC5C65" w:rsidP="00B91870">
      <w:pPr>
        <w:spacing w:after="0" w:line="240" w:lineRule="auto"/>
        <w:rPr>
          <w:rFonts w:cstheme="minorHAnsi"/>
          <w:b/>
          <w:sz w:val="24"/>
          <w:szCs w:val="24"/>
        </w:rPr>
      </w:pPr>
      <w:r w:rsidRPr="00CD22D5">
        <w:rPr>
          <w:rFonts w:cstheme="minorHAnsi"/>
          <w:b/>
          <w:sz w:val="24"/>
          <w:szCs w:val="24"/>
          <w:u w:val="single"/>
        </w:rPr>
        <w:t>Data Provided by:</w:t>
      </w:r>
    </w:p>
    <w:p w14:paraId="4763E252" w14:textId="5369C07D" w:rsidR="00CC5C65" w:rsidRPr="00CD22D5" w:rsidRDefault="009F6F30" w:rsidP="00B91870">
      <w:pPr>
        <w:spacing w:after="0" w:line="240" w:lineRule="auto"/>
        <w:ind w:left="720"/>
        <w:rPr>
          <w:rFonts w:cstheme="minorHAnsi"/>
          <w:b/>
          <w:sz w:val="24"/>
          <w:szCs w:val="24"/>
        </w:rPr>
      </w:pPr>
      <w:r w:rsidRPr="001565B4">
        <w:rPr>
          <w:rFonts w:cstheme="minorHAnsi"/>
          <w:b/>
          <w:sz w:val="24"/>
          <w:szCs w:val="24"/>
        </w:rPr>
        <w:t>Michelle Khau</w:t>
      </w:r>
      <w:r w:rsidR="00CC5C65" w:rsidRPr="001565B4">
        <w:rPr>
          <w:rFonts w:cstheme="minorHAnsi"/>
          <w:b/>
          <w:sz w:val="24"/>
          <w:szCs w:val="24"/>
        </w:rPr>
        <w:t>, MPH</w:t>
      </w:r>
    </w:p>
    <w:p w14:paraId="5DEE2CEB" w14:textId="77777777" w:rsidR="00CC5C65" w:rsidRPr="00CD22D5" w:rsidRDefault="00CC5C65" w:rsidP="00B91870">
      <w:pPr>
        <w:spacing w:after="0" w:line="240" w:lineRule="auto"/>
        <w:ind w:left="720"/>
        <w:rPr>
          <w:rFonts w:cstheme="minorHAnsi"/>
          <w:sz w:val="24"/>
          <w:szCs w:val="24"/>
        </w:rPr>
      </w:pPr>
      <w:r w:rsidRPr="00CD22D5">
        <w:rPr>
          <w:rFonts w:cstheme="minorHAnsi"/>
          <w:sz w:val="24"/>
          <w:szCs w:val="24"/>
        </w:rPr>
        <w:t>Chronic Disease Biostatistician</w:t>
      </w:r>
    </w:p>
    <w:p w14:paraId="153E1801" w14:textId="77777777" w:rsidR="00CC5C65" w:rsidRPr="00CD22D5" w:rsidRDefault="00CC5C65" w:rsidP="00B91870">
      <w:pPr>
        <w:spacing w:after="0" w:line="240" w:lineRule="auto"/>
        <w:ind w:left="720"/>
        <w:rPr>
          <w:rFonts w:cstheme="minorHAnsi"/>
          <w:sz w:val="24"/>
          <w:szCs w:val="24"/>
        </w:rPr>
      </w:pPr>
      <w:r w:rsidRPr="00CD22D5">
        <w:rPr>
          <w:rFonts w:cstheme="minorHAnsi"/>
          <w:sz w:val="24"/>
          <w:szCs w:val="24"/>
        </w:rPr>
        <w:t>Office of Analytics</w:t>
      </w:r>
    </w:p>
    <w:p w14:paraId="0A2B8FAB" w14:textId="7EBF224B" w:rsidR="00CC5C65" w:rsidRPr="00CD22D5" w:rsidRDefault="00CC5C65" w:rsidP="00560D1D">
      <w:pPr>
        <w:spacing w:after="0" w:line="240" w:lineRule="auto"/>
        <w:ind w:left="720"/>
        <w:rPr>
          <w:rFonts w:cstheme="minorHAnsi"/>
          <w:sz w:val="24"/>
          <w:szCs w:val="24"/>
        </w:rPr>
      </w:pPr>
      <w:r w:rsidRPr="00CD22D5">
        <w:rPr>
          <w:rFonts w:cstheme="minorHAnsi"/>
          <w:sz w:val="24"/>
          <w:szCs w:val="24"/>
        </w:rPr>
        <w:t>Nevada Department of Health and Human Services</w:t>
      </w:r>
    </w:p>
    <w:p w14:paraId="05938445" w14:textId="77777777" w:rsidR="00560D1D" w:rsidRPr="00CD22D5" w:rsidRDefault="00560D1D" w:rsidP="00B91870">
      <w:pPr>
        <w:spacing w:after="0" w:line="240" w:lineRule="auto"/>
        <w:ind w:left="720"/>
        <w:rPr>
          <w:rFonts w:cstheme="minorHAnsi"/>
          <w:b/>
          <w:sz w:val="24"/>
          <w:szCs w:val="24"/>
          <w:u w:val="single"/>
        </w:rPr>
      </w:pPr>
    </w:p>
    <w:p w14:paraId="0124CADB" w14:textId="16A7645F" w:rsidR="002C5047" w:rsidRPr="00CD22D5" w:rsidRDefault="00CC5C65" w:rsidP="006F3331">
      <w:pPr>
        <w:spacing w:after="0" w:line="240" w:lineRule="auto"/>
        <w:rPr>
          <w:rFonts w:cstheme="minorHAnsi"/>
          <w:b/>
          <w:sz w:val="24"/>
          <w:szCs w:val="24"/>
          <w:u w:val="single"/>
        </w:rPr>
      </w:pPr>
      <w:r w:rsidRPr="00CD22D5">
        <w:rPr>
          <w:rFonts w:cstheme="minorHAnsi"/>
          <w:b/>
          <w:sz w:val="24"/>
          <w:szCs w:val="24"/>
          <w:u w:val="single"/>
        </w:rPr>
        <w:t>Recommended Citation</w:t>
      </w:r>
    </w:p>
    <w:p w14:paraId="2EC23E4B" w14:textId="5C374389" w:rsidR="00CC5C65" w:rsidRPr="00CD22D5" w:rsidRDefault="002C5047" w:rsidP="00B91870">
      <w:pPr>
        <w:spacing w:after="0"/>
        <w:ind w:left="720"/>
        <w:jc w:val="both"/>
        <w:rPr>
          <w:rFonts w:cstheme="minorHAnsi"/>
          <w:sz w:val="24"/>
          <w:szCs w:val="24"/>
        </w:rPr>
      </w:pPr>
      <w:r w:rsidRPr="00CD22D5">
        <w:rPr>
          <w:rFonts w:cstheme="minorHAnsi"/>
          <w:sz w:val="24"/>
          <w:szCs w:val="24"/>
        </w:rPr>
        <w:t xml:space="preserve">Office of Analytics. Division of Public and Behavioral </w:t>
      </w:r>
      <w:r w:rsidRPr="00055427">
        <w:rPr>
          <w:rFonts w:cstheme="minorHAnsi"/>
          <w:sz w:val="24"/>
          <w:szCs w:val="24"/>
        </w:rPr>
        <w:t xml:space="preserve">Health. </w:t>
      </w:r>
      <w:r w:rsidRPr="006F3331">
        <w:rPr>
          <w:rFonts w:cstheme="minorHAnsi"/>
          <w:i/>
          <w:sz w:val="24"/>
          <w:szCs w:val="24"/>
        </w:rPr>
        <w:t>Nevada Stroke Registry: 2018 Data Summary</w:t>
      </w:r>
      <w:r w:rsidRPr="00162E09">
        <w:rPr>
          <w:rFonts w:cstheme="minorHAnsi"/>
          <w:sz w:val="24"/>
          <w:szCs w:val="24"/>
        </w:rPr>
        <w:t>. Carson City, Nevada e 1.0. June 2019.</w:t>
      </w:r>
    </w:p>
    <w:p w14:paraId="31F37F13" w14:textId="77777777" w:rsidR="00563203" w:rsidRPr="00D47E43" w:rsidRDefault="00563203" w:rsidP="009259B0">
      <w:pPr>
        <w:pStyle w:val="Heading1STD0"/>
        <w:rPr>
          <w:rFonts w:asciiTheme="minorHAnsi" w:hAnsiTheme="minorHAnsi" w:cstheme="minorHAnsi"/>
          <w:b w:val="0"/>
          <w:sz w:val="36"/>
          <w:szCs w:val="36"/>
        </w:rPr>
      </w:pPr>
      <w:r w:rsidRPr="001565B4">
        <w:rPr>
          <w:rFonts w:asciiTheme="minorHAnsi" w:hAnsiTheme="minorHAnsi" w:cstheme="minorHAnsi"/>
          <w:sz w:val="36"/>
          <w:szCs w:val="36"/>
        </w:rPr>
        <w:lastRenderedPageBreak/>
        <w:t>Table of Contents</w:t>
      </w:r>
    </w:p>
    <w:p w14:paraId="655ED3A4" w14:textId="77777777" w:rsidR="00563203" w:rsidRPr="001F634C" w:rsidRDefault="00563203" w:rsidP="00563203">
      <w:pPr>
        <w:pStyle w:val="TOC1"/>
        <w:spacing w:line="360" w:lineRule="auto"/>
        <w:rPr>
          <w:rFonts w:asciiTheme="minorHAnsi" w:hAnsiTheme="minorHAnsi" w:cstheme="minorHAnsi"/>
          <w:sz w:val="24"/>
          <w:szCs w:val="24"/>
        </w:rPr>
      </w:pPr>
      <w:r w:rsidRPr="006F3331">
        <w:rPr>
          <w:rFonts w:asciiTheme="minorHAnsi" w:hAnsiTheme="minorHAnsi" w:cstheme="minorHAnsi"/>
          <w:b/>
          <w:bCs/>
          <w:sz w:val="24"/>
          <w:szCs w:val="24"/>
        </w:rPr>
        <w:t xml:space="preserve">Background and </w:t>
      </w:r>
      <w:r w:rsidRPr="001F634C">
        <w:rPr>
          <w:rFonts w:asciiTheme="minorHAnsi" w:hAnsiTheme="minorHAnsi" w:cstheme="minorHAnsi"/>
          <w:b/>
          <w:bCs/>
          <w:sz w:val="24"/>
          <w:szCs w:val="24"/>
        </w:rPr>
        <w:t>Purpose</w:t>
      </w:r>
      <w:r w:rsidRPr="001F634C">
        <w:rPr>
          <w:rFonts w:asciiTheme="minorHAnsi" w:hAnsiTheme="minorHAnsi" w:cstheme="minorHAnsi"/>
          <w:sz w:val="24"/>
          <w:szCs w:val="24"/>
        </w:rPr>
        <w:ptab w:relativeTo="margin" w:alignment="right" w:leader="dot"/>
      </w:r>
      <w:r w:rsidRPr="001F634C">
        <w:rPr>
          <w:rFonts w:asciiTheme="minorHAnsi" w:hAnsiTheme="minorHAnsi" w:cstheme="minorHAnsi"/>
          <w:b/>
          <w:bCs/>
          <w:sz w:val="24"/>
          <w:szCs w:val="24"/>
        </w:rPr>
        <w:t>1</w:t>
      </w:r>
    </w:p>
    <w:p w14:paraId="01EA2F52" w14:textId="08E802C5" w:rsidR="00563203" w:rsidRPr="001F634C" w:rsidRDefault="00563203" w:rsidP="00563203">
      <w:pPr>
        <w:pStyle w:val="TOC1"/>
        <w:spacing w:line="360" w:lineRule="auto"/>
        <w:rPr>
          <w:rFonts w:asciiTheme="minorHAnsi" w:hAnsiTheme="minorHAnsi" w:cstheme="minorHAnsi"/>
          <w:sz w:val="24"/>
          <w:szCs w:val="24"/>
        </w:rPr>
      </w:pPr>
      <w:r w:rsidRPr="001F634C">
        <w:rPr>
          <w:rFonts w:asciiTheme="minorHAnsi" w:hAnsiTheme="minorHAnsi" w:cstheme="minorHAnsi"/>
          <w:b/>
          <w:bCs/>
          <w:sz w:val="24"/>
          <w:szCs w:val="24"/>
        </w:rPr>
        <w:t>Nevada Stroke Burden</w:t>
      </w:r>
      <w:r w:rsidRPr="001F634C">
        <w:rPr>
          <w:rFonts w:asciiTheme="minorHAnsi" w:hAnsiTheme="minorHAnsi" w:cstheme="minorHAnsi"/>
          <w:sz w:val="24"/>
          <w:szCs w:val="24"/>
        </w:rPr>
        <w:ptab w:relativeTo="margin" w:alignment="right" w:leader="dot"/>
      </w:r>
      <w:r w:rsidRPr="001F634C">
        <w:rPr>
          <w:rFonts w:asciiTheme="minorHAnsi" w:hAnsiTheme="minorHAnsi" w:cstheme="minorHAnsi"/>
          <w:b/>
          <w:bCs/>
          <w:sz w:val="24"/>
          <w:szCs w:val="24"/>
        </w:rPr>
        <w:t>2-</w:t>
      </w:r>
      <w:r w:rsidR="002351E0" w:rsidRPr="001F634C">
        <w:rPr>
          <w:rFonts w:asciiTheme="minorHAnsi" w:hAnsiTheme="minorHAnsi" w:cstheme="minorHAnsi"/>
          <w:b/>
          <w:bCs/>
          <w:sz w:val="24"/>
          <w:szCs w:val="24"/>
        </w:rPr>
        <w:t>4</w:t>
      </w:r>
    </w:p>
    <w:p w14:paraId="1026101E" w14:textId="47BEE422" w:rsidR="00563203" w:rsidRPr="001F634C" w:rsidRDefault="00563203" w:rsidP="00563203">
      <w:pPr>
        <w:pStyle w:val="TOC1"/>
        <w:spacing w:line="360" w:lineRule="auto"/>
        <w:rPr>
          <w:rFonts w:asciiTheme="minorHAnsi" w:hAnsiTheme="minorHAnsi" w:cstheme="minorHAnsi"/>
          <w:sz w:val="24"/>
          <w:szCs w:val="24"/>
        </w:rPr>
      </w:pPr>
      <w:r w:rsidRPr="001F634C">
        <w:rPr>
          <w:rFonts w:asciiTheme="minorHAnsi" w:hAnsiTheme="minorHAnsi" w:cstheme="minorHAnsi"/>
          <w:b/>
          <w:bCs/>
          <w:sz w:val="24"/>
          <w:szCs w:val="24"/>
        </w:rPr>
        <w:t>Population and Limitations</w:t>
      </w:r>
      <w:r w:rsidRPr="001F634C">
        <w:rPr>
          <w:rFonts w:asciiTheme="minorHAnsi" w:hAnsiTheme="minorHAnsi" w:cstheme="minorHAnsi"/>
          <w:sz w:val="24"/>
          <w:szCs w:val="24"/>
        </w:rPr>
        <w:ptab w:relativeTo="margin" w:alignment="right" w:leader="dot"/>
      </w:r>
      <w:r w:rsidR="002351E0" w:rsidRPr="001F634C">
        <w:rPr>
          <w:rFonts w:asciiTheme="minorHAnsi" w:hAnsiTheme="minorHAnsi" w:cstheme="minorHAnsi"/>
          <w:b/>
          <w:bCs/>
          <w:sz w:val="24"/>
          <w:szCs w:val="24"/>
        </w:rPr>
        <w:t>5</w:t>
      </w:r>
    </w:p>
    <w:p w14:paraId="1F4512A3" w14:textId="290D2850" w:rsidR="00563203" w:rsidRPr="0082144C" w:rsidRDefault="00563203" w:rsidP="00563203">
      <w:pPr>
        <w:pStyle w:val="TOC1"/>
        <w:spacing w:line="360" w:lineRule="auto"/>
        <w:rPr>
          <w:rFonts w:asciiTheme="minorHAnsi" w:hAnsiTheme="minorHAnsi" w:cstheme="minorHAnsi"/>
          <w:b/>
          <w:bCs/>
          <w:sz w:val="24"/>
          <w:szCs w:val="24"/>
        </w:rPr>
      </w:pPr>
      <w:r w:rsidRPr="001F634C">
        <w:rPr>
          <w:rFonts w:asciiTheme="minorHAnsi" w:hAnsiTheme="minorHAnsi" w:cstheme="minorHAnsi"/>
          <w:b/>
          <w:bCs/>
          <w:sz w:val="24"/>
          <w:szCs w:val="24"/>
        </w:rPr>
        <w:t>Demographics</w:t>
      </w:r>
      <w:r w:rsidRPr="001F634C">
        <w:rPr>
          <w:rFonts w:asciiTheme="minorHAnsi" w:hAnsiTheme="minorHAnsi" w:cstheme="minorHAnsi"/>
          <w:sz w:val="24"/>
          <w:szCs w:val="24"/>
        </w:rPr>
        <w:ptab w:relativeTo="margin" w:alignment="right" w:leader="dot"/>
      </w:r>
      <w:r w:rsidR="0082144C">
        <w:rPr>
          <w:rFonts w:asciiTheme="minorHAnsi" w:hAnsiTheme="minorHAnsi" w:cstheme="minorHAnsi"/>
          <w:b/>
          <w:bCs/>
          <w:sz w:val="24"/>
          <w:szCs w:val="24"/>
        </w:rPr>
        <w:t>5-</w:t>
      </w:r>
      <w:r w:rsidR="002351E0" w:rsidRPr="0082144C">
        <w:rPr>
          <w:rFonts w:asciiTheme="minorHAnsi" w:hAnsiTheme="minorHAnsi" w:cstheme="minorHAnsi"/>
          <w:b/>
          <w:bCs/>
          <w:sz w:val="24"/>
          <w:szCs w:val="24"/>
        </w:rPr>
        <w:t>6</w:t>
      </w:r>
    </w:p>
    <w:p w14:paraId="37E8C97D" w14:textId="30873A78" w:rsidR="00563203" w:rsidRPr="001F634C" w:rsidRDefault="00563203" w:rsidP="00563203">
      <w:pPr>
        <w:pStyle w:val="TOC1"/>
        <w:spacing w:line="360" w:lineRule="auto"/>
        <w:rPr>
          <w:rFonts w:asciiTheme="minorHAnsi" w:hAnsiTheme="minorHAnsi" w:cstheme="minorHAnsi"/>
          <w:sz w:val="24"/>
          <w:szCs w:val="24"/>
        </w:rPr>
      </w:pPr>
      <w:r w:rsidRPr="001F634C">
        <w:rPr>
          <w:rFonts w:asciiTheme="minorHAnsi" w:hAnsiTheme="minorHAnsi" w:cstheme="minorHAnsi"/>
          <w:b/>
          <w:bCs/>
          <w:sz w:val="24"/>
          <w:szCs w:val="24"/>
        </w:rPr>
        <w:t>Demographics-Who Is Affected?</w:t>
      </w:r>
      <w:r w:rsidRPr="001F634C">
        <w:rPr>
          <w:rFonts w:asciiTheme="minorHAnsi" w:hAnsiTheme="minorHAnsi" w:cstheme="minorHAnsi"/>
          <w:sz w:val="24"/>
          <w:szCs w:val="24"/>
        </w:rPr>
        <w:ptab w:relativeTo="margin" w:alignment="right" w:leader="dot"/>
      </w:r>
      <w:r w:rsidR="002351E0" w:rsidRPr="001F634C">
        <w:rPr>
          <w:rFonts w:asciiTheme="minorHAnsi" w:hAnsiTheme="minorHAnsi" w:cstheme="minorHAnsi"/>
          <w:b/>
          <w:bCs/>
          <w:sz w:val="24"/>
          <w:szCs w:val="24"/>
        </w:rPr>
        <w:t>6-7</w:t>
      </w:r>
    </w:p>
    <w:p w14:paraId="788684D1" w14:textId="3A5893C3" w:rsidR="00563203" w:rsidRPr="001F634C" w:rsidRDefault="00563203" w:rsidP="00563203">
      <w:pPr>
        <w:pStyle w:val="TOC1"/>
        <w:spacing w:line="360" w:lineRule="auto"/>
        <w:rPr>
          <w:rFonts w:asciiTheme="minorHAnsi" w:hAnsiTheme="minorHAnsi" w:cstheme="minorHAnsi"/>
          <w:sz w:val="24"/>
          <w:szCs w:val="24"/>
        </w:rPr>
      </w:pPr>
      <w:r w:rsidRPr="001F634C">
        <w:rPr>
          <w:rFonts w:asciiTheme="minorHAnsi" w:hAnsiTheme="minorHAnsi" w:cstheme="minorHAnsi"/>
          <w:b/>
          <w:bCs/>
          <w:sz w:val="24"/>
          <w:szCs w:val="24"/>
        </w:rPr>
        <w:t>Performance Measures</w:t>
      </w:r>
      <w:r w:rsidRPr="001F634C">
        <w:rPr>
          <w:rFonts w:asciiTheme="minorHAnsi" w:hAnsiTheme="minorHAnsi" w:cstheme="minorHAnsi"/>
          <w:sz w:val="24"/>
          <w:szCs w:val="24"/>
        </w:rPr>
        <w:ptab w:relativeTo="margin" w:alignment="right" w:leader="dot"/>
      </w:r>
      <w:r w:rsidR="002351E0" w:rsidRPr="001F634C">
        <w:rPr>
          <w:rFonts w:asciiTheme="minorHAnsi" w:hAnsiTheme="minorHAnsi" w:cstheme="minorHAnsi"/>
          <w:b/>
          <w:bCs/>
          <w:sz w:val="24"/>
          <w:szCs w:val="24"/>
        </w:rPr>
        <w:t>8</w:t>
      </w:r>
    </w:p>
    <w:p w14:paraId="5BA23FE8" w14:textId="732972A2" w:rsidR="00563203" w:rsidRPr="001F634C" w:rsidRDefault="00563203" w:rsidP="00563203">
      <w:pPr>
        <w:pStyle w:val="TOC1"/>
        <w:spacing w:line="360" w:lineRule="auto"/>
        <w:rPr>
          <w:rFonts w:asciiTheme="minorHAnsi" w:hAnsiTheme="minorHAnsi" w:cstheme="minorHAnsi"/>
          <w:sz w:val="24"/>
          <w:szCs w:val="24"/>
        </w:rPr>
      </w:pPr>
      <w:r w:rsidRPr="001F634C">
        <w:rPr>
          <w:rFonts w:asciiTheme="minorHAnsi" w:hAnsiTheme="minorHAnsi" w:cstheme="minorHAnsi"/>
          <w:b/>
          <w:bCs/>
          <w:sz w:val="24"/>
          <w:szCs w:val="24"/>
        </w:rPr>
        <w:t>Dysphagia Screening</w:t>
      </w:r>
      <w:r w:rsidRPr="001F634C">
        <w:rPr>
          <w:rFonts w:asciiTheme="minorHAnsi" w:hAnsiTheme="minorHAnsi" w:cstheme="minorHAnsi"/>
          <w:sz w:val="24"/>
          <w:szCs w:val="24"/>
        </w:rPr>
        <w:ptab w:relativeTo="margin" w:alignment="right" w:leader="dot"/>
      </w:r>
      <w:r w:rsidR="002351E0" w:rsidRPr="001F634C">
        <w:rPr>
          <w:rFonts w:asciiTheme="minorHAnsi" w:hAnsiTheme="minorHAnsi" w:cstheme="minorHAnsi"/>
          <w:b/>
          <w:bCs/>
          <w:sz w:val="24"/>
          <w:szCs w:val="24"/>
        </w:rPr>
        <w:t>8-9</w:t>
      </w:r>
    </w:p>
    <w:p w14:paraId="7A7A9C64" w14:textId="181FA60B" w:rsidR="00563203" w:rsidRPr="001F634C" w:rsidRDefault="00563203" w:rsidP="00563203">
      <w:pPr>
        <w:pStyle w:val="TOC1"/>
        <w:spacing w:line="360" w:lineRule="auto"/>
        <w:rPr>
          <w:rFonts w:asciiTheme="minorHAnsi" w:hAnsiTheme="minorHAnsi" w:cstheme="minorHAnsi"/>
          <w:sz w:val="24"/>
          <w:szCs w:val="24"/>
        </w:rPr>
      </w:pPr>
      <w:r w:rsidRPr="001F634C">
        <w:rPr>
          <w:rFonts w:asciiTheme="minorHAnsi" w:hAnsiTheme="minorHAnsi" w:cstheme="minorHAnsi"/>
          <w:b/>
          <w:bCs/>
          <w:sz w:val="24"/>
          <w:szCs w:val="24"/>
        </w:rPr>
        <w:t>Stroke Education</w:t>
      </w:r>
      <w:r w:rsidRPr="001F634C">
        <w:rPr>
          <w:rFonts w:asciiTheme="minorHAnsi" w:hAnsiTheme="minorHAnsi" w:cstheme="minorHAnsi"/>
          <w:sz w:val="24"/>
          <w:szCs w:val="24"/>
        </w:rPr>
        <w:ptab w:relativeTo="margin" w:alignment="right" w:leader="dot"/>
      </w:r>
      <w:r w:rsidR="002351E0" w:rsidRPr="001F634C">
        <w:rPr>
          <w:rFonts w:asciiTheme="minorHAnsi" w:hAnsiTheme="minorHAnsi" w:cstheme="minorHAnsi"/>
          <w:b/>
          <w:bCs/>
          <w:sz w:val="24"/>
          <w:szCs w:val="24"/>
        </w:rPr>
        <w:t>9-11</w:t>
      </w:r>
    </w:p>
    <w:p w14:paraId="2E976191" w14:textId="072A951E" w:rsidR="00563203" w:rsidRPr="001F634C" w:rsidRDefault="00563203" w:rsidP="00563203">
      <w:pPr>
        <w:pStyle w:val="TOC1"/>
        <w:spacing w:line="360" w:lineRule="auto"/>
        <w:rPr>
          <w:rFonts w:asciiTheme="minorHAnsi" w:hAnsiTheme="minorHAnsi" w:cstheme="minorHAnsi"/>
          <w:sz w:val="24"/>
          <w:szCs w:val="24"/>
        </w:rPr>
      </w:pPr>
      <w:r w:rsidRPr="001F634C">
        <w:rPr>
          <w:rFonts w:asciiTheme="minorHAnsi" w:hAnsiTheme="minorHAnsi" w:cstheme="minorHAnsi"/>
          <w:b/>
          <w:bCs/>
          <w:sz w:val="24"/>
          <w:szCs w:val="24"/>
        </w:rPr>
        <w:t>IV t-PA Administration</w:t>
      </w:r>
      <w:r w:rsidRPr="001F634C">
        <w:rPr>
          <w:rFonts w:asciiTheme="minorHAnsi" w:hAnsiTheme="minorHAnsi" w:cstheme="minorHAnsi"/>
          <w:sz w:val="24"/>
          <w:szCs w:val="24"/>
        </w:rPr>
        <w:ptab w:relativeTo="margin" w:alignment="right" w:leader="dot"/>
      </w:r>
      <w:r w:rsidR="00B53F3F" w:rsidRPr="001F634C">
        <w:rPr>
          <w:rFonts w:asciiTheme="minorHAnsi" w:hAnsiTheme="minorHAnsi" w:cstheme="minorHAnsi"/>
          <w:b/>
          <w:bCs/>
          <w:sz w:val="24"/>
          <w:szCs w:val="24"/>
        </w:rPr>
        <w:t>10</w:t>
      </w:r>
      <w:r w:rsidR="0082144C">
        <w:rPr>
          <w:rFonts w:asciiTheme="minorHAnsi" w:hAnsiTheme="minorHAnsi" w:cstheme="minorHAnsi"/>
          <w:b/>
          <w:bCs/>
          <w:sz w:val="24"/>
          <w:szCs w:val="24"/>
        </w:rPr>
        <w:t>-11</w:t>
      </w:r>
    </w:p>
    <w:p w14:paraId="0086C2C2" w14:textId="4B84BBB8" w:rsidR="00563203" w:rsidRPr="001F634C" w:rsidRDefault="00563203" w:rsidP="00563203">
      <w:pPr>
        <w:pStyle w:val="TOC1"/>
        <w:spacing w:line="360" w:lineRule="auto"/>
        <w:rPr>
          <w:rFonts w:asciiTheme="minorHAnsi" w:hAnsiTheme="minorHAnsi" w:cstheme="minorHAnsi"/>
          <w:sz w:val="24"/>
          <w:szCs w:val="24"/>
        </w:rPr>
      </w:pPr>
      <w:r w:rsidRPr="001F634C">
        <w:rPr>
          <w:rFonts w:asciiTheme="minorHAnsi" w:hAnsiTheme="minorHAnsi" w:cstheme="minorHAnsi"/>
          <w:b/>
          <w:bCs/>
          <w:sz w:val="24"/>
          <w:szCs w:val="24"/>
        </w:rPr>
        <w:t>Early Antithrombotic Therapy</w:t>
      </w:r>
      <w:r w:rsidRPr="001F634C">
        <w:rPr>
          <w:rFonts w:asciiTheme="minorHAnsi" w:hAnsiTheme="minorHAnsi" w:cstheme="minorHAnsi"/>
          <w:sz w:val="24"/>
          <w:szCs w:val="24"/>
        </w:rPr>
        <w:ptab w:relativeTo="margin" w:alignment="right" w:leader="dot"/>
      </w:r>
      <w:r w:rsidRPr="001F634C">
        <w:rPr>
          <w:rFonts w:asciiTheme="minorHAnsi" w:hAnsiTheme="minorHAnsi" w:cstheme="minorHAnsi"/>
          <w:b/>
          <w:bCs/>
          <w:sz w:val="24"/>
          <w:szCs w:val="24"/>
        </w:rPr>
        <w:t>1</w:t>
      </w:r>
      <w:r w:rsidR="00B53F3F" w:rsidRPr="001F634C">
        <w:rPr>
          <w:rFonts w:asciiTheme="minorHAnsi" w:hAnsiTheme="minorHAnsi" w:cstheme="minorHAnsi"/>
          <w:b/>
          <w:bCs/>
          <w:sz w:val="24"/>
          <w:szCs w:val="24"/>
        </w:rPr>
        <w:t>1-12</w:t>
      </w:r>
    </w:p>
    <w:p w14:paraId="4CEA401A" w14:textId="0F0991D9" w:rsidR="00563203" w:rsidRPr="001F634C" w:rsidRDefault="00563203" w:rsidP="00563203">
      <w:pPr>
        <w:pStyle w:val="TOC1"/>
        <w:spacing w:line="360" w:lineRule="auto"/>
        <w:rPr>
          <w:rFonts w:asciiTheme="minorHAnsi" w:hAnsiTheme="minorHAnsi" w:cstheme="minorHAnsi"/>
          <w:b/>
          <w:bCs/>
          <w:sz w:val="24"/>
          <w:szCs w:val="24"/>
        </w:rPr>
      </w:pPr>
      <w:r w:rsidRPr="001F634C">
        <w:rPr>
          <w:rFonts w:asciiTheme="minorHAnsi" w:hAnsiTheme="minorHAnsi" w:cstheme="minorHAnsi"/>
          <w:b/>
          <w:bCs/>
          <w:sz w:val="24"/>
          <w:szCs w:val="24"/>
        </w:rPr>
        <w:t>Pre-Hospital Mode of Transport</w:t>
      </w:r>
      <w:r w:rsidRPr="001F634C">
        <w:rPr>
          <w:rFonts w:asciiTheme="minorHAnsi" w:hAnsiTheme="minorHAnsi" w:cstheme="minorHAnsi"/>
          <w:sz w:val="24"/>
          <w:szCs w:val="24"/>
        </w:rPr>
        <w:ptab w:relativeTo="margin" w:alignment="right" w:leader="dot"/>
      </w:r>
      <w:r w:rsidRPr="001F634C">
        <w:rPr>
          <w:rFonts w:asciiTheme="minorHAnsi" w:hAnsiTheme="minorHAnsi" w:cstheme="minorHAnsi"/>
          <w:b/>
          <w:bCs/>
          <w:sz w:val="24"/>
          <w:szCs w:val="24"/>
        </w:rPr>
        <w:t>1</w:t>
      </w:r>
      <w:r w:rsidR="001609E4">
        <w:rPr>
          <w:rFonts w:asciiTheme="minorHAnsi" w:hAnsiTheme="minorHAnsi" w:cstheme="minorHAnsi"/>
          <w:b/>
          <w:bCs/>
          <w:sz w:val="24"/>
          <w:szCs w:val="24"/>
        </w:rPr>
        <w:t>3</w:t>
      </w:r>
    </w:p>
    <w:p w14:paraId="51AA050E" w14:textId="472CB9DC" w:rsidR="00563203" w:rsidRPr="001F634C" w:rsidRDefault="00563203" w:rsidP="00563203">
      <w:pPr>
        <w:pStyle w:val="TOC1"/>
        <w:spacing w:line="360" w:lineRule="auto"/>
        <w:rPr>
          <w:rFonts w:asciiTheme="minorHAnsi" w:hAnsiTheme="minorHAnsi" w:cstheme="minorHAnsi"/>
          <w:b/>
          <w:bCs/>
          <w:sz w:val="24"/>
          <w:szCs w:val="24"/>
        </w:rPr>
      </w:pPr>
      <w:r w:rsidRPr="001F634C">
        <w:rPr>
          <w:rFonts w:asciiTheme="minorHAnsi" w:hAnsiTheme="minorHAnsi" w:cstheme="minorHAnsi"/>
          <w:b/>
          <w:bCs/>
          <w:sz w:val="24"/>
          <w:szCs w:val="24"/>
        </w:rPr>
        <w:t>Recommendations and Aggregated Data</w:t>
      </w:r>
      <w:r w:rsidRPr="001F634C">
        <w:rPr>
          <w:rFonts w:asciiTheme="minorHAnsi" w:hAnsiTheme="minorHAnsi" w:cstheme="minorHAnsi"/>
          <w:sz w:val="24"/>
          <w:szCs w:val="24"/>
        </w:rPr>
        <w:ptab w:relativeTo="margin" w:alignment="right" w:leader="dot"/>
      </w:r>
      <w:r w:rsidRPr="001F634C">
        <w:rPr>
          <w:rFonts w:asciiTheme="minorHAnsi" w:hAnsiTheme="minorHAnsi" w:cstheme="minorHAnsi"/>
          <w:b/>
          <w:bCs/>
          <w:sz w:val="24"/>
          <w:szCs w:val="24"/>
        </w:rPr>
        <w:t>1</w:t>
      </w:r>
      <w:r w:rsidR="00B53F3F" w:rsidRPr="001F634C">
        <w:rPr>
          <w:rFonts w:asciiTheme="minorHAnsi" w:hAnsiTheme="minorHAnsi" w:cstheme="minorHAnsi"/>
          <w:b/>
          <w:bCs/>
          <w:sz w:val="24"/>
          <w:szCs w:val="24"/>
        </w:rPr>
        <w:t>3-14</w:t>
      </w:r>
    </w:p>
    <w:p w14:paraId="0290C6B4" w14:textId="768717AC" w:rsidR="00563203" w:rsidRPr="001F634C" w:rsidRDefault="00563203" w:rsidP="00563203">
      <w:pPr>
        <w:pStyle w:val="TOC1"/>
        <w:spacing w:line="360" w:lineRule="auto"/>
        <w:rPr>
          <w:rFonts w:asciiTheme="minorHAnsi" w:hAnsiTheme="minorHAnsi" w:cstheme="minorHAnsi"/>
          <w:b/>
          <w:bCs/>
          <w:sz w:val="24"/>
          <w:szCs w:val="24"/>
        </w:rPr>
      </w:pPr>
      <w:r w:rsidRPr="001F634C">
        <w:rPr>
          <w:rFonts w:asciiTheme="minorHAnsi" w:hAnsiTheme="minorHAnsi" w:cstheme="minorHAnsi"/>
          <w:b/>
          <w:bCs/>
          <w:sz w:val="24"/>
          <w:szCs w:val="24"/>
        </w:rPr>
        <w:t xml:space="preserve">Legislative </w:t>
      </w:r>
      <w:r w:rsidR="00B53F3F" w:rsidRPr="001F634C">
        <w:rPr>
          <w:rFonts w:asciiTheme="minorHAnsi" w:hAnsiTheme="minorHAnsi" w:cstheme="minorHAnsi"/>
          <w:b/>
          <w:bCs/>
          <w:sz w:val="24"/>
          <w:szCs w:val="24"/>
        </w:rPr>
        <w:t>Recommendations</w:t>
      </w:r>
      <w:r w:rsidR="00B53F3F" w:rsidRPr="001F634C">
        <w:rPr>
          <w:rFonts w:asciiTheme="minorHAnsi" w:hAnsiTheme="minorHAnsi" w:cstheme="minorHAnsi"/>
          <w:sz w:val="24"/>
          <w:szCs w:val="24"/>
        </w:rPr>
        <w:ptab w:relativeTo="margin" w:alignment="right" w:leader="dot"/>
      </w:r>
      <w:r w:rsidR="00B53F3F" w:rsidRPr="001F634C">
        <w:rPr>
          <w:rFonts w:asciiTheme="minorHAnsi" w:hAnsiTheme="minorHAnsi" w:cstheme="minorHAnsi"/>
          <w:b/>
          <w:bCs/>
          <w:sz w:val="24"/>
          <w:szCs w:val="24"/>
        </w:rPr>
        <w:t>14</w:t>
      </w:r>
    </w:p>
    <w:p w14:paraId="072387FD" w14:textId="309A026A" w:rsidR="00563203" w:rsidRPr="001F634C" w:rsidRDefault="00563203" w:rsidP="00563203">
      <w:pPr>
        <w:pStyle w:val="TOC1"/>
        <w:spacing w:line="360" w:lineRule="auto"/>
        <w:rPr>
          <w:rFonts w:asciiTheme="minorHAnsi" w:hAnsiTheme="minorHAnsi" w:cstheme="minorHAnsi"/>
          <w:b/>
          <w:bCs/>
          <w:sz w:val="24"/>
          <w:szCs w:val="24"/>
        </w:rPr>
      </w:pPr>
      <w:r w:rsidRPr="001F634C">
        <w:rPr>
          <w:rFonts w:asciiTheme="minorHAnsi" w:hAnsiTheme="minorHAnsi" w:cstheme="minorHAnsi"/>
          <w:b/>
          <w:bCs/>
          <w:sz w:val="24"/>
          <w:szCs w:val="24"/>
        </w:rPr>
        <w:t>Report Conclusions</w:t>
      </w:r>
      <w:r w:rsidRPr="001F634C">
        <w:rPr>
          <w:rFonts w:asciiTheme="minorHAnsi" w:hAnsiTheme="minorHAnsi" w:cstheme="minorHAnsi"/>
          <w:sz w:val="24"/>
          <w:szCs w:val="24"/>
        </w:rPr>
        <w:ptab w:relativeTo="margin" w:alignment="right" w:leader="dot"/>
      </w:r>
      <w:r w:rsidR="00B53F3F" w:rsidRPr="001F634C">
        <w:rPr>
          <w:rFonts w:asciiTheme="minorHAnsi" w:hAnsiTheme="minorHAnsi" w:cstheme="minorHAnsi"/>
          <w:b/>
          <w:bCs/>
          <w:sz w:val="24"/>
          <w:szCs w:val="24"/>
        </w:rPr>
        <w:t>15</w:t>
      </w:r>
    </w:p>
    <w:p w14:paraId="7FC59CB2" w14:textId="361BB23A" w:rsidR="00B53F3F" w:rsidRPr="001F634C" w:rsidRDefault="00B53F3F" w:rsidP="00B53F3F">
      <w:pPr>
        <w:pStyle w:val="TOC1"/>
        <w:spacing w:line="360" w:lineRule="auto"/>
        <w:rPr>
          <w:rFonts w:asciiTheme="minorHAnsi" w:hAnsiTheme="minorHAnsi" w:cstheme="minorHAnsi"/>
          <w:b/>
          <w:bCs/>
          <w:sz w:val="24"/>
          <w:szCs w:val="24"/>
        </w:rPr>
      </w:pPr>
      <w:r w:rsidRPr="001F634C">
        <w:rPr>
          <w:rFonts w:asciiTheme="minorHAnsi" w:hAnsiTheme="minorHAnsi" w:cstheme="minorHAnsi"/>
          <w:b/>
          <w:bCs/>
          <w:sz w:val="24"/>
          <w:szCs w:val="24"/>
        </w:rPr>
        <w:t>Acknowledgements</w:t>
      </w:r>
      <w:r w:rsidRPr="001F634C">
        <w:rPr>
          <w:rFonts w:asciiTheme="minorHAnsi" w:hAnsiTheme="minorHAnsi" w:cstheme="minorHAnsi"/>
          <w:sz w:val="24"/>
          <w:szCs w:val="24"/>
        </w:rPr>
        <w:ptab w:relativeTo="margin" w:alignment="right" w:leader="dot"/>
      </w:r>
      <w:r w:rsidRPr="001F634C">
        <w:rPr>
          <w:rFonts w:asciiTheme="minorHAnsi" w:hAnsiTheme="minorHAnsi" w:cstheme="minorHAnsi"/>
          <w:b/>
          <w:bCs/>
          <w:sz w:val="24"/>
          <w:szCs w:val="24"/>
        </w:rPr>
        <w:t>15</w:t>
      </w:r>
    </w:p>
    <w:p w14:paraId="644BE73D" w14:textId="259A0735" w:rsidR="00B53F3F" w:rsidRPr="001F634C" w:rsidRDefault="00B53F3F" w:rsidP="00B53F3F">
      <w:pPr>
        <w:pStyle w:val="TOC1"/>
        <w:spacing w:line="360" w:lineRule="auto"/>
        <w:rPr>
          <w:rFonts w:asciiTheme="minorHAnsi" w:hAnsiTheme="minorHAnsi" w:cstheme="minorHAnsi"/>
          <w:b/>
          <w:bCs/>
          <w:sz w:val="24"/>
          <w:szCs w:val="24"/>
        </w:rPr>
      </w:pPr>
      <w:r w:rsidRPr="001F634C">
        <w:rPr>
          <w:rFonts w:asciiTheme="minorHAnsi" w:hAnsiTheme="minorHAnsi" w:cstheme="minorHAnsi"/>
          <w:b/>
          <w:bCs/>
          <w:sz w:val="24"/>
          <w:szCs w:val="24"/>
        </w:rPr>
        <w:t>Definitions</w:t>
      </w:r>
      <w:r w:rsidRPr="001F634C">
        <w:rPr>
          <w:rFonts w:asciiTheme="minorHAnsi" w:hAnsiTheme="minorHAnsi" w:cstheme="minorHAnsi"/>
          <w:sz w:val="24"/>
          <w:szCs w:val="24"/>
        </w:rPr>
        <w:ptab w:relativeTo="margin" w:alignment="right" w:leader="dot"/>
      </w:r>
      <w:r w:rsidRPr="001F634C">
        <w:rPr>
          <w:rFonts w:asciiTheme="minorHAnsi" w:hAnsiTheme="minorHAnsi" w:cstheme="minorHAnsi"/>
          <w:b/>
          <w:bCs/>
          <w:sz w:val="24"/>
          <w:szCs w:val="24"/>
        </w:rPr>
        <w:t>16-17</w:t>
      </w:r>
    </w:p>
    <w:p w14:paraId="7A09545C" w14:textId="398C304D" w:rsidR="00B53F3F" w:rsidRPr="001F634C" w:rsidRDefault="00B53F3F" w:rsidP="00B53F3F">
      <w:pPr>
        <w:pStyle w:val="TOC1"/>
        <w:spacing w:line="360" w:lineRule="auto"/>
        <w:rPr>
          <w:rFonts w:asciiTheme="minorHAnsi" w:hAnsiTheme="minorHAnsi" w:cstheme="minorHAnsi"/>
          <w:b/>
          <w:bCs/>
          <w:sz w:val="24"/>
          <w:szCs w:val="24"/>
        </w:rPr>
      </w:pPr>
      <w:r w:rsidRPr="001F634C">
        <w:rPr>
          <w:rFonts w:asciiTheme="minorHAnsi" w:hAnsiTheme="minorHAnsi" w:cstheme="minorHAnsi"/>
          <w:b/>
          <w:bCs/>
          <w:sz w:val="24"/>
          <w:szCs w:val="24"/>
        </w:rPr>
        <w:t>References</w:t>
      </w:r>
      <w:r w:rsidRPr="001F634C">
        <w:rPr>
          <w:rFonts w:asciiTheme="minorHAnsi" w:hAnsiTheme="minorHAnsi" w:cstheme="minorHAnsi"/>
          <w:sz w:val="24"/>
          <w:szCs w:val="24"/>
        </w:rPr>
        <w:ptab w:relativeTo="margin" w:alignment="right" w:leader="dot"/>
      </w:r>
      <w:r w:rsidRPr="001F634C">
        <w:rPr>
          <w:rFonts w:asciiTheme="minorHAnsi" w:hAnsiTheme="minorHAnsi" w:cstheme="minorHAnsi"/>
          <w:b/>
          <w:bCs/>
          <w:sz w:val="24"/>
          <w:szCs w:val="24"/>
        </w:rPr>
        <w:t>18</w:t>
      </w:r>
    </w:p>
    <w:p w14:paraId="21133C9F" w14:textId="77777777" w:rsidR="00B53F3F" w:rsidRPr="001F634C" w:rsidRDefault="00B53F3F" w:rsidP="001F634C"/>
    <w:p w14:paraId="41473869" w14:textId="77777777" w:rsidR="00B53F3F" w:rsidRPr="001F634C" w:rsidRDefault="00B53F3F" w:rsidP="001F634C">
      <w:pPr>
        <w:rPr>
          <w:highlight w:val="green"/>
        </w:rPr>
      </w:pPr>
    </w:p>
    <w:p w14:paraId="7924A8E9" w14:textId="6F52DD04" w:rsidR="008008A7" w:rsidRPr="001609E4" w:rsidRDefault="008008A7">
      <w:r w:rsidRPr="00EB70C1">
        <w:rPr>
          <w:rFonts w:cstheme="minorHAnsi"/>
        </w:rPr>
        <w:br w:type="page"/>
      </w:r>
    </w:p>
    <w:p w14:paraId="69F24960" w14:textId="77777777" w:rsidR="00977569" w:rsidRPr="00D47E43" w:rsidRDefault="00977569" w:rsidP="006F3331">
      <w:pPr>
        <w:pStyle w:val="Heading1STD0"/>
        <w:spacing w:before="0"/>
        <w:rPr>
          <w:rFonts w:asciiTheme="minorHAnsi" w:hAnsiTheme="minorHAnsi" w:cstheme="minorHAnsi"/>
          <w:b w:val="0"/>
          <w:sz w:val="36"/>
          <w:szCs w:val="36"/>
        </w:rPr>
      </w:pPr>
      <w:r w:rsidRPr="006F3331">
        <w:rPr>
          <w:rFonts w:asciiTheme="minorHAnsi" w:hAnsiTheme="minorHAnsi" w:cstheme="minorHAnsi"/>
          <w:sz w:val="36"/>
          <w:szCs w:val="36"/>
        </w:rPr>
        <w:lastRenderedPageBreak/>
        <w:t>Table of Figures</w:t>
      </w:r>
    </w:p>
    <w:p w14:paraId="12453BC8" w14:textId="77777777" w:rsidR="008F214A" w:rsidRPr="001F634C" w:rsidRDefault="008F214A" w:rsidP="00A7020D">
      <w:pPr>
        <w:spacing w:before="120"/>
        <w:rPr>
          <w:b/>
          <w:bCs/>
          <w:sz w:val="24"/>
          <w:szCs w:val="24"/>
        </w:rPr>
      </w:pPr>
      <w:bookmarkStart w:id="4" w:name="_Hlk41855564"/>
      <w:r w:rsidRPr="006F3331">
        <w:rPr>
          <w:b/>
          <w:bCs/>
          <w:sz w:val="24"/>
          <w:szCs w:val="24"/>
        </w:rPr>
        <w:t xml:space="preserve">Figure 1. Prevalence of Chronic Diseases, Nevada vs. U.S., 2018, BRFSS Data </w:t>
      </w:r>
      <w:r w:rsidRPr="001F634C">
        <w:rPr>
          <w:b/>
          <w:bCs/>
          <w:sz w:val="24"/>
          <w:szCs w:val="24"/>
        </w:rPr>
        <w:ptab w:relativeTo="margin" w:alignment="right" w:leader="dot"/>
      </w:r>
      <w:r w:rsidRPr="001F634C">
        <w:rPr>
          <w:b/>
          <w:bCs/>
          <w:sz w:val="24"/>
          <w:szCs w:val="24"/>
        </w:rPr>
        <w:t>3</w:t>
      </w:r>
    </w:p>
    <w:p w14:paraId="051314EB" w14:textId="77777777" w:rsidR="008F214A" w:rsidRPr="001F634C" w:rsidRDefault="008F214A" w:rsidP="00A7020D">
      <w:pPr>
        <w:spacing w:before="120"/>
        <w:rPr>
          <w:b/>
          <w:bCs/>
          <w:sz w:val="24"/>
          <w:szCs w:val="24"/>
        </w:rPr>
      </w:pPr>
      <w:r w:rsidRPr="001F634C">
        <w:rPr>
          <w:b/>
          <w:bCs/>
          <w:sz w:val="24"/>
          <w:szCs w:val="24"/>
        </w:rPr>
        <w:t>Figure 2. Prevalence of Chronic Diseases by Age Group, Nevada, 2018 BRFSS Data</w:t>
      </w:r>
      <w:r w:rsidRPr="001F634C">
        <w:rPr>
          <w:b/>
          <w:bCs/>
          <w:sz w:val="24"/>
          <w:szCs w:val="24"/>
        </w:rPr>
        <w:ptab w:relativeTo="margin" w:alignment="right" w:leader="dot"/>
      </w:r>
      <w:r w:rsidRPr="001F634C">
        <w:rPr>
          <w:b/>
          <w:bCs/>
          <w:sz w:val="24"/>
          <w:szCs w:val="24"/>
        </w:rPr>
        <w:t>4</w:t>
      </w:r>
    </w:p>
    <w:p w14:paraId="481623C2" w14:textId="77777777" w:rsidR="008F214A" w:rsidRPr="001F634C" w:rsidRDefault="008F214A" w:rsidP="00A7020D">
      <w:pPr>
        <w:spacing w:before="120"/>
        <w:rPr>
          <w:b/>
          <w:bCs/>
          <w:sz w:val="24"/>
          <w:szCs w:val="24"/>
        </w:rPr>
      </w:pPr>
      <w:r w:rsidRPr="001F634C">
        <w:rPr>
          <w:b/>
          <w:bCs/>
          <w:sz w:val="24"/>
          <w:szCs w:val="24"/>
        </w:rPr>
        <w:t xml:space="preserve">Figure 3. Prevalence of Stroke in Adults, Nevada vs. U.S., 2006 – 2018 BRFSS Data </w:t>
      </w:r>
      <w:r w:rsidRPr="001F634C">
        <w:rPr>
          <w:b/>
          <w:bCs/>
          <w:sz w:val="24"/>
          <w:szCs w:val="24"/>
        </w:rPr>
        <w:ptab w:relativeTo="margin" w:alignment="right" w:leader="dot"/>
      </w:r>
      <w:r w:rsidRPr="001F634C">
        <w:rPr>
          <w:b/>
          <w:bCs/>
          <w:sz w:val="24"/>
          <w:szCs w:val="24"/>
        </w:rPr>
        <w:t>4</w:t>
      </w:r>
    </w:p>
    <w:p w14:paraId="14669FA6" w14:textId="77777777" w:rsidR="008F214A" w:rsidRPr="001F634C" w:rsidRDefault="008F214A" w:rsidP="00A7020D">
      <w:pPr>
        <w:spacing w:before="120"/>
        <w:rPr>
          <w:b/>
          <w:bCs/>
          <w:sz w:val="24"/>
          <w:szCs w:val="24"/>
        </w:rPr>
      </w:pPr>
      <w:r w:rsidRPr="001F634C">
        <w:rPr>
          <w:b/>
          <w:bCs/>
          <w:sz w:val="24"/>
          <w:szCs w:val="24"/>
        </w:rPr>
        <w:t>Figure 4. Prevalence of Stroke in Adults by Race/Ethnicity, 2018 Nevada BRFSS Data</w:t>
      </w:r>
      <w:r w:rsidRPr="001F634C">
        <w:rPr>
          <w:b/>
          <w:bCs/>
          <w:sz w:val="24"/>
          <w:szCs w:val="24"/>
        </w:rPr>
        <w:ptab w:relativeTo="margin" w:alignment="right" w:leader="dot"/>
      </w:r>
      <w:r w:rsidRPr="001F634C">
        <w:rPr>
          <w:b/>
          <w:bCs/>
          <w:sz w:val="24"/>
          <w:szCs w:val="24"/>
        </w:rPr>
        <w:t>4</w:t>
      </w:r>
    </w:p>
    <w:p w14:paraId="4007526F" w14:textId="77777777" w:rsidR="008F214A" w:rsidRPr="001F634C" w:rsidRDefault="008F214A" w:rsidP="00A7020D">
      <w:pPr>
        <w:spacing w:before="120"/>
        <w:rPr>
          <w:b/>
          <w:bCs/>
          <w:sz w:val="24"/>
          <w:szCs w:val="24"/>
        </w:rPr>
      </w:pPr>
      <w:r w:rsidRPr="001F634C">
        <w:rPr>
          <w:b/>
          <w:bCs/>
          <w:sz w:val="24"/>
          <w:szCs w:val="24"/>
        </w:rPr>
        <w:t>Figure 5. Chronic Disease Mortality Rate from 2012 - 2018, BRFSS Data, Nevada</w:t>
      </w:r>
      <w:r w:rsidRPr="001F634C">
        <w:rPr>
          <w:b/>
          <w:bCs/>
          <w:sz w:val="24"/>
          <w:szCs w:val="24"/>
        </w:rPr>
        <w:ptab w:relativeTo="margin" w:alignment="right" w:leader="dot"/>
      </w:r>
      <w:r w:rsidRPr="001F634C">
        <w:rPr>
          <w:b/>
          <w:bCs/>
          <w:sz w:val="24"/>
          <w:szCs w:val="24"/>
        </w:rPr>
        <w:t>5</w:t>
      </w:r>
    </w:p>
    <w:p w14:paraId="73F24FD3" w14:textId="77777777" w:rsidR="008F214A" w:rsidRPr="001F634C" w:rsidRDefault="008F214A" w:rsidP="00A7020D">
      <w:pPr>
        <w:spacing w:before="120"/>
        <w:rPr>
          <w:b/>
          <w:bCs/>
          <w:sz w:val="24"/>
          <w:szCs w:val="24"/>
        </w:rPr>
      </w:pPr>
      <w:r w:rsidRPr="001F634C">
        <w:rPr>
          <w:b/>
          <w:bCs/>
          <w:sz w:val="24"/>
          <w:szCs w:val="24"/>
        </w:rPr>
        <w:t>Figure 6. Chronic Disease Mortality Rate by Race/Ethnicity, Nevada Residents, 2018</w:t>
      </w:r>
      <w:r w:rsidRPr="001F634C">
        <w:rPr>
          <w:b/>
          <w:bCs/>
          <w:sz w:val="24"/>
          <w:szCs w:val="24"/>
        </w:rPr>
        <w:ptab w:relativeTo="margin" w:alignment="right" w:leader="dot"/>
      </w:r>
      <w:r w:rsidRPr="001F634C">
        <w:rPr>
          <w:b/>
          <w:bCs/>
          <w:sz w:val="24"/>
          <w:szCs w:val="24"/>
        </w:rPr>
        <w:t>6</w:t>
      </w:r>
    </w:p>
    <w:p w14:paraId="31ED5A3F" w14:textId="77777777" w:rsidR="008F214A" w:rsidRPr="001F634C" w:rsidRDefault="008F214A" w:rsidP="00A7020D">
      <w:pPr>
        <w:spacing w:before="120"/>
        <w:rPr>
          <w:b/>
          <w:bCs/>
          <w:sz w:val="24"/>
          <w:szCs w:val="24"/>
        </w:rPr>
      </w:pPr>
      <w:r w:rsidRPr="001F634C">
        <w:rPr>
          <w:b/>
          <w:bCs/>
          <w:sz w:val="24"/>
          <w:szCs w:val="24"/>
        </w:rPr>
        <w:t xml:space="preserve">Figure 7. Type of Stroke in Participating Hospitals, 2019 </w:t>
      </w:r>
      <w:r w:rsidRPr="001F634C">
        <w:rPr>
          <w:b/>
          <w:bCs/>
          <w:sz w:val="24"/>
          <w:szCs w:val="24"/>
        </w:rPr>
        <w:ptab w:relativeTo="margin" w:alignment="right" w:leader="dot"/>
      </w:r>
      <w:r w:rsidRPr="001F634C">
        <w:rPr>
          <w:b/>
          <w:bCs/>
          <w:sz w:val="24"/>
          <w:szCs w:val="24"/>
        </w:rPr>
        <w:t>7</w:t>
      </w:r>
    </w:p>
    <w:p w14:paraId="79AC01D1" w14:textId="77777777" w:rsidR="008F214A" w:rsidRPr="001F634C" w:rsidRDefault="008F214A" w:rsidP="00A7020D">
      <w:pPr>
        <w:spacing w:before="120"/>
        <w:rPr>
          <w:b/>
          <w:bCs/>
          <w:sz w:val="24"/>
          <w:szCs w:val="24"/>
        </w:rPr>
      </w:pPr>
      <w:r w:rsidRPr="001F634C">
        <w:rPr>
          <w:b/>
          <w:bCs/>
          <w:sz w:val="24"/>
          <w:szCs w:val="24"/>
        </w:rPr>
        <w:t>Figure 8. Stroke by Gender, Crude Rates, 2014 – 2019</w:t>
      </w:r>
      <w:r w:rsidRPr="001F634C">
        <w:rPr>
          <w:b/>
          <w:bCs/>
          <w:sz w:val="24"/>
          <w:szCs w:val="24"/>
        </w:rPr>
        <w:ptab w:relativeTo="margin" w:alignment="right" w:leader="dot"/>
      </w:r>
      <w:r w:rsidRPr="001F634C">
        <w:rPr>
          <w:b/>
          <w:bCs/>
          <w:sz w:val="24"/>
          <w:szCs w:val="24"/>
        </w:rPr>
        <w:t>7</w:t>
      </w:r>
    </w:p>
    <w:p w14:paraId="56CEB472" w14:textId="77777777" w:rsidR="008F214A" w:rsidRPr="001F634C" w:rsidRDefault="008F214A" w:rsidP="00A7020D">
      <w:pPr>
        <w:spacing w:before="120"/>
        <w:rPr>
          <w:b/>
          <w:bCs/>
          <w:sz w:val="24"/>
          <w:szCs w:val="24"/>
        </w:rPr>
      </w:pPr>
      <w:r w:rsidRPr="001F634C">
        <w:rPr>
          <w:b/>
          <w:bCs/>
          <w:sz w:val="24"/>
          <w:szCs w:val="24"/>
        </w:rPr>
        <w:t>Figure 9. Stroke by Age, Crude Rates, 2019</w:t>
      </w:r>
      <w:r w:rsidRPr="001F634C">
        <w:rPr>
          <w:b/>
          <w:bCs/>
          <w:sz w:val="24"/>
          <w:szCs w:val="24"/>
        </w:rPr>
        <w:ptab w:relativeTo="margin" w:alignment="right" w:leader="dot"/>
      </w:r>
      <w:r w:rsidRPr="001F634C">
        <w:rPr>
          <w:b/>
          <w:bCs/>
          <w:sz w:val="24"/>
          <w:szCs w:val="24"/>
        </w:rPr>
        <w:t>8</w:t>
      </w:r>
    </w:p>
    <w:p w14:paraId="52ED6DA1" w14:textId="77777777" w:rsidR="008F214A" w:rsidRPr="001F634C" w:rsidRDefault="008F214A" w:rsidP="00A7020D">
      <w:pPr>
        <w:spacing w:before="120"/>
        <w:rPr>
          <w:b/>
          <w:bCs/>
          <w:sz w:val="24"/>
          <w:szCs w:val="24"/>
        </w:rPr>
      </w:pPr>
      <w:r w:rsidRPr="001F634C">
        <w:rPr>
          <w:b/>
          <w:bCs/>
          <w:sz w:val="24"/>
          <w:szCs w:val="24"/>
        </w:rPr>
        <w:t>Figure 10. Race/Ethnicity, Crude Rates, 2019</w:t>
      </w:r>
      <w:r w:rsidRPr="001F634C">
        <w:rPr>
          <w:b/>
          <w:bCs/>
          <w:sz w:val="24"/>
          <w:szCs w:val="24"/>
        </w:rPr>
        <w:ptab w:relativeTo="margin" w:alignment="right" w:leader="dot"/>
      </w:r>
      <w:r w:rsidRPr="001F634C">
        <w:rPr>
          <w:b/>
          <w:bCs/>
          <w:sz w:val="24"/>
          <w:szCs w:val="24"/>
        </w:rPr>
        <w:t>8</w:t>
      </w:r>
    </w:p>
    <w:p w14:paraId="799388C2" w14:textId="77777777" w:rsidR="008F214A" w:rsidRPr="001F634C" w:rsidRDefault="008F214A" w:rsidP="00A7020D">
      <w:pPr>
        <w:spacing w:before="120"/>
        <w:rPr>
          <w:rFonts w:cstheme="minorHAnsi"/>
          <w:b/>
          <w:bCs/>
          <w:sz w:val="24"/>
          <w:szCs w:val="24"/>
        </w:rPr>
      </w:pPr>
      <w:r w:rsidRPr="001F634C">
        <w:rPr>
          <w:rFonts w:cstheme="minorHAnsi"/>
          <w:b/>
          <w:bCs/>
          <w:sz w:val="24"/>
          <w:szCs w:val="24"/>
        </w:rPr>
        <w:t>Figure 11. Performance Measure, 2019 Nevada</w:t>
      </w:r>
      <w:r w:rsidRPr="001F634C">
        <w:rPr>
          <w:b/>
          <w:bCs/>
          <w:sz w:val="24"/>
          <w:szCs w:val="24"/>
        </w:rPr>
        <w:ptab w:relativeTo="margin" w:alignment="right" w:leader="dot"/>
      </w:r>
      <w:r w:rsidRPr="001F634C">
        <w:rPr>
          <w:b/>
          <w:bCs/>
          <w:sz w:val="24"/>
          <w:szCs w:val="24"/>
        </w:rPr>
        <w:t>9</w:t>
      </w:r>
    </w:p>
    <w:p w14:paraId="2BF2816D" w14:textId="77777777" w:rsidR="008F214A" w:rsidRPr="001F634C" w:rsidRDefault="008F214A" w:rsidP="00A7020D">
      <w:pPr>
        <w:spacing w:before="120"/>
        <w:rPr>
          <w:rFonts w:cstheme="minorHAnsi"/>
          <w:b/>
          <w:bCs/>
          <w:sz w:val="24"/>
          <w:szCs w:val="24"/>
        </w:rPr>
      </w:pPr>
      <w:r w:rsidRPr="001F634C">
        <w:rPr>
          <w:rFonts w:cstheme="minorHAnsi"/>
          <w:b/>
          <w:bCs/>
          <w:sz w:val="24"/>
          <w:szCs w:val="24"/>
        </w:rPr>
        <w:t>Figure 12. Stroke Patients Who Undergo Screening for Dysphagia, 2014-2019</w:t>
      </w:r>
      <w:r w:rsidRPr="001F634C">
        <w:rPr>
          <w:b/>
          <w:bCs/>
          <w:sz w:val="24"/>
          <w:szCs w:val="24"/>
        </w:rPr>
        <w:ptab w:relativeTo="margin" w:alignment="right" w:leader="dot"/>
      </w:r>
      <w:r w:rsidRPr="001F634C">
        <w:rPr>
          <w:b/>
          <w:bCs/>
          <w:sz w:val="24"/>
          <w:szCs w:val="24"/>
        </w:rPr>
        <w:t>10</w:t>
      </w:r>
    </w:p>
    <w:p w14:paraId="115BEB52" w14:textId="77777777" w:rsidR="008F214A" w:rsidRPr="001F634C" w:rsidRDefault="008F214A" w:rsidP="00A7020D">
      <w:pPr>
        <w:spacing w:before="120"/>
        <w:rPr>
          <w:rFonts w:cstheme="minorHAnsi"/>
          <w:b/>
          <w:bCs/>
          <w:sz w:val="24"/>
          <w:szCs w:val="24"/>
        </w:rPr>
      </w:pPr>
      <w:r w:rsidRPr="001F634C">
        <w:rPr>
          <w:rFonts w:cstheme="minorHAnsi"/>
          <w:b/>
          <w:bCs/>
          <w:sz w:val="24"/>
          <w:szCs w:val="24"/>
        </w:rPr>
        <w:t>Figure 13. Patients Provided with Education on Stroke or TIA during the Hospital Stay, 2014-2019</w:t>
      </w:r>
      <w:r w:rsidRPr="001F634C">
        <w:rPr>
          <w:b/>
          <w:bCs/>
          <w:sz w:val="24"/>
          <w:szCs w:val="24"/>
        </w:rPr>
        <w:ptab w:relativeTo="margin" w:alignment="right" w:leader="dot"/>
      </w:r>
      <w:r w:rsidRPr="001F634C">
        <w:rPr>
          <w:b/>
          <w:bCs/>
          <w:sz w:val="24"/>
          <w:szCs w:val="24"/>
        </w:rPr>
        <w:t>10</w:t>
      </w:r>
    </w:p>
    <w:p w14:paraId="0E5F6F86" w14:textId="77777777" w:rsidR="008F214A" w:rsidRPr="001F634C" w:rsidRDefault="008F214A" w:rsidP="00A7020D">
      <w:pPr>
        <w:spacing w:before="120"/>
        <w:rPr>
          <w:b/>
          <w:bCs/>
          <w:sz w:val="24"/>
          <w:szCs w:val="24"/>
        </w:rPr>
      </w:pPr>
      <w:r w:rsidRPr="001F634C">
        <w:rPr>
          <w:b/>
          <w:bCs/>
          <w:sz w:val="24"/>
          <w:szCs w:val="24"/>
        </w:rPr>
        <w:t>Figure 14. Patients with an Ischemic Stroke or TIA with an Atrial Fibrillation/Flutter at Discharged on an Anticoagulation Therapy Medication, 2014 – 2019</w:t>
      </w:r>
      <w:r w:rsidRPr="001F634C">
        <w:rPr>
          <w:b/>
          <w:bCs/>
          <w:sz w:val="24"/>
          <w:szCs w:val="24"/>
        </w:rPr>
        <w:ptab w:relativeTo="margin" w:alignment="right" w:leader="dot"/>
      </w:r>
      <w:r w:rsidRPr="001F634C">
        <w:rPr>
          <w:b/>
          <w:bCs/>
          <w:sz w:val="24"/>
          <w:szCs w:val="24"/>
        </w:rPr>
        <w:t>11</w:t>
      </w:r>
    </w:p>
    <w:p w14:paraId="7E462D22" w14:textId="77777777" w:rsidR="008F214A" w:rsidRPr="001F634C" w:rsidRDefault="008F214A" w:rsidP="00A7020D">
      <w:pPr>
        <w:spacing w:before="120"/>
        <w:rPr>
          <w:b/>
          <w:bCs/>
          <w:sz w:val="24"/>
          <w:szCs w:val="24"/>
        </w:rPr>
      </w:pPr>
      <w:r w:rsidRPr="001F634C">
        <w:rPr>
          <w:b/>
          <w:bCs/>
          <w:sz w:val="24"/>
          <w:szCs w:val="24"/>
        </w:rPr>
        <w:t>Figure 15. Acute Ischemic Stroke Patients Who Arrived at the Hospital within 120 Minutes of Last Known Well and for whom IV t-PA was Initiated within 180 Minutes of Time Last Known Well</w:t>
      </w:r>
      <w:r w:rsidRPr="001F634C">
        <w:rPr>
          <w:b/>
          <w:bCs/>
          <w:sz w:val="24"/>
          <w:szCs w:val="24"/>
        </w:rPr>
        <w:ptab w:relativeTo="margin" w:alignment="right" w:leader="dot"/>
      </w:r>
      <w:r w:rsidRPr="001F634C">
        <w:rPr>
          <w:b/>
          <w:bCs/>
          <w:sz w:val="24"/>
          <w:szCs w:val="24"/>
        </w:rPr>
        <w:t>11</w:t>
      </w:r>
    </w:p>
    <w:p w14:paraId="653E802A" w14:textId="77777777" w:rsidR="008F214A" w:rsidRPr="001F634C" w:rsidRDefault="008F214A" w:rsidP="00A7020D">
      <w:pPr>
        <w:spacing w:before="120"/>
        <w:rPr>
          <w:b/>
          <w:bCs/>
          <w:sz w:val="24"/>
          <w:szCs w:val="24"/>
        </w:rPr>
      </w:pPr>
      <w:r w:rsidRPr="001F634C">
        <w:rPr>
          <w:b/>
          <w:bCs/>
          <w:sz w:val="24"/>
          <w:szCs w:val="24"/>
        </w:rPr>
        <w:t>Figure 16. Percent of Patients with Ischemic Stroke or TIA Who Receive Antithrombotic Therapy by the End of the Hospital Day Two, 2014-2019</w:t>
      </w:r>
      <w:r w:rsidRPr="001F634C">
        <w:rPr>
          <w:b/>
          <w:bCs/>
          <w:sz w:val="24"/>
          <w:szCs w:val="24"/>
        </w:rPr>
        <w:ptab w:relativeTo="margin" w:alignment="right" w:leader="dot"/>
      </w:r>
      <w:r w:rsidRPr="001F634C">
        <w:rPr>
          <w:b/>
          <w:bCs/>
          <w:sz w:val="24"/>
          <w:szCs w:val="24"/>
        </w:rPr>
        <w:t>12</w:t>
      </w:r>
    </w:p>
    <w:p w14:paraId="29C7AD31" w14:textId="77777777" w:rsidR="008F214A" w:rsidRPr="001F634C" w:rsidRDefault="008F214A" w:rsidP="00A7020D">
      <w:pPr>
        <w:spacing w:before="120"/>
        <w:rPr>
          <w:b/>
          <w:bCs/>
          <w:sz w:val="24"/>
          <w:szCs w:val="24"/>
        </w:rPr>
      </w:pPr>
      <w:r w:rsidRPr="001F634C">
        <w:rPr>
          <w:b/>
          <w:bCs/>
          <w:sz w:val="24"/>
          <w:szCs w:val="24"/>
        </w:rPr>
        <w:t>Figure 17. Percent of Acute Ischemic Stroke Patients Receiving Intravenous Tissue Plasminogen Activator (</w:t>
      </w:r>
      <w:proofErr w:type="spellStart"/>
      <w:r w:rsidRPr="001F634C">
        <w:rPr>
          <w:b/>
          <w:bCs/>
          <w:sz w:val="24"/>
          <w:szCs w:val="24"/>
        </w:rPr>
        <w:t>tPA</w:t>
      </w:r>
      <w:proofErr w:type="spellEnd"/>
      <w:r w:rsidRPr="001F634C">
        <w:rPr>
          <w:b/>
          <w:bCs/>
          <w:sz w:val="24"/>
          <w:szCs w:val="24"/>
        </w:rPr>
        <w:t>) Therapy With 60 Minutes or Less of Door-to-Needle Time, 2014-2019</w:t>
      </w:r>
      <w:r w:rsidRPr="001F634C">
        <w:rPr>
          <w:b/>
          <w:bCs/>
          <w:sz w:val="24"/>
          <w:szCs w:val="24"/>
        </w:rPr>
        <w:ptab w:relativeTo="margin" w:alignment="right" w:leader="dot"/>
      </w:r>
      <w:r w:rsidRPr="001F634C">
        <w:rPr>
          <w:b/>
          <w:bCs/>
          <w:sz w:val="24"/>
          <w:szCs w:val="24"/>
        </w:rPr>
        <w:t>13</w:t>
      </w:r>
    </w:p>
    <w:p w14:paraId="6C4BF3C9" w14:textId="77777777" w:rsidR="008F214A" w:rsidRPr="00EB70C1" w:rsidRDefault="008F214A" w:rsidP="00A7020D">
      <w:pPr>
        <w:spacing w:before="120"/>
        <w:rPr>
          <w:sz w:val="24"/>
          <w:szCs w:val="24"/>
        </w:rPr>
      </w:pPr>
      <w:r w:rsidRPr="001F634C">
        <w:rPr>
          <w:b/>
          <w:bCs/>
          <w:sz w:val="24"/>
          <w:szCs w:val="24"/>
        </w:rPr>
        <w:t>Figure 18. Arrival Mode, 2014-2019</w:t>
      </w:r>
      <w:r w:rsidRPr="001F634C">
        <w:rPr>
          <w:b/>
          <w:bCs/>
          <w:sz w:val="24"/>
          <w:szCs w:val="24"/>
        </w:rPr>
        <w:ptab w:relativeTo="margin" w:alignment="right" w:leader="dot"/>
      </w:r>
      <w:r w:rsidRPr="001F634C">
        <w:rPr>
          <w:b/>
          <w:bCs/>
          <w:sz w:val="24"/>
          <w:szCs w:val="24"/>
        </w:rPr>
        <w:t>14</w:t>
      </w:r>
    </w:p>
    <w:bookmarkEnd w:id="4"/>
    <w:p w14:paraId="692489DD" w14:textId="77777777" w:rsidR="00F820B4" w:rsidRDefault="0018370E">
      <w:pPr>
        <w:rPr>
          <w:rFonts w:cstheme="minorHAnsi"/>
        </w:rPr>
        <w:sectPr w:rsidR="00F820B4" w:rsidSect="006F3331">
          <w:footerReference w:type="first" r:id="rId12"/>
          <w:pgSz w:w="12240" w:h="15840"/>
          <w:pgMar w:top="720" w:right="720" w:bottom="720" w:left="720" w:header="720" w:footer="720" w:gutter="0"/>
          <w:cols w:space="720"/>
          <w:docGrid w:linePitch="360"/>
        </w:sectPr>
      </w:pPr>
      <w:r>
        <w:rPr>
          <w:rFonts w:cstheme="minorHAnsi"/>
        </w:rPr>
        <w:br w:type="page"/>
      </w:r>
    </w:p>
    <w:p w14:paraId="26BCB048" w14:textId="2AA87854" w:rsidR="00B44214" w:rsidRPr="00B91870" w:rsidRDefault="00FB19A1" w:rsidP="006F3331">
      <w:pPr>
        <w:pStyle w:val="HeadingOPHIE"/>
        <w:spacing w:before="0" w:after="0"/>
        <w:rPr>
          <w:rFonts w:asciiTheme="minorHAnsi" w:hAnsiTheme="minorHAnsi" w:cstheme="minorHAnsi"/>
          <w:sz w:val="32"/>
          <w:szCs w:val="32"/>
        </w:rPr>
      </w:pPr>
      <w:bookmarkStart w:id="5" w:name="nihss"/>
      <w:bookmarkStart w:id="6" w:name="cdccov"/>
      <w:bookmarkEnd w:id="5"/>
      <w:bookmarkEnd w:id="6"/>
      <w:r w:rsidRPr="001925F3">
        <w:rPr>
          <w:rFonts w:asciiTheme="minorHAnsi" w:hAnsiTheme="minorHAnsi" w:cstheme="minorHAnsi"/>
          <w:color w:val="auto"/>
          <w:sz w:val="36"/>
          <w:szCs w:val="36"/>
        </w:rPr>
        <w:lastRenderedPageBreak/>
        <w:t>Background</w:t>
      </w:r>
      <w:r w:rsidR="00B44214" w:rsidRPr="001925F3">
        <w:rPr>
          <w:rFonts w:asciiTheme="minorHAnsi" w:hAnsiTheme="minorHAnsi" w:cstheme="minorHAnsi"/>
          <w:color w:val="auto"/>
          <w:sz w:val="36"/>
          <w:szCs w:val="36"/>
        </w:rPr>
        <w:t xml:space="preserve"> and Purpose</w:t>
      </w:r>
    </w:p>
    <w:p w14:paraId="63C623F4" w14:textId="55C9FB77" w:rsidR="00103545" w:rsidRPr="00C31A29" w:rsidRDefault="00103545" w:rsidP="00162E09">
      <w:pPr>
        <w:autoSpaceDE w:val="0"/>
        <w:autoSpaceDN w:val="0"/>
        <w:adjustRightInd w:val="0"/>
        <w:spacing w:before="120" w:after="0"/>
        <w:jc w:val="both"/>
        <w:rPr>
          <w:rFonts w:cstheme="minorHAnsi"/>
          <w:sz w:val="24"/>
          <w:szCs w:val="24"/>
        </w:rPr>
      </w:pPr>
      <w:r w:rsidRPr="001925F3">
        <w:rPr>
          <w:rFonts w:cstheme="minorHAnsi"/>
          <w:sz w:val="24"/>
          <w:szCs w:val="24"/>
        </w:rPr>
        <w:t>The Heart Disease and Stroke Prevention (HDSP) Program, housed in the Chronic Disease and Health Promotion (</w:t>
      </w:r>
      <w:r w:rsidRPr="00C31A29">
        <w:rPr>
          <w:rFonts w:cstheme="minorHAnsi"/>
          <w:sz w:val="24"/>
          <w:szCs w:val="24"/>
        </w:rPr>
        <w:t>CDPHP) section within the Nevada Division of Public and Behavioral Health (DPBH), Bureau of Child, Family and Community Wellness (CFCW), is pleased to release the 2019 Stroke Registry Report. The purpose of the Stroke Registry Report is to provide an annual update on the collection of data by the Stroke Registry and offer recommendations to improve the quality of care to patients who</w:t>
      </w:r>
      <w:r w:rsidR="00C05167" w:rsidRPr="00C31A29">
        <w:rPr>
          <w:rFonts w:cstheme="minorHAnsi"/>
          <w:sz w:val="24"/>
          <w:szCs w:val="24"/>
        </w:rPr>
        <w:t xml:space="preserve"> have</w:t>
      </w:r>
      <w:r w:rsidRPr="00C31A29">
        <w:rPr>
          <w:rFonts w:cstheme="minorHAnsi"/>
          <w:sz w:val="24"/>
          <w:szCs w:val="24"/>
        </w:rPr>
        <w:t xml:space="preserve"> suffer</w:t>
      </w:r>
      <w:r w:rsidR="00C05167" w:rsidRPr="00C31A29">
        <w:rPr>
          <w:rFonts w:cstheme="minorHAnsi"/>
          <w:sz w:val="24"/>
          <w:szCs w:val="24"/>
        </w:rPr>
        <w:t>ed</w:t>
      </w:r>
      <w:r w:rsidRPr="00C31A29">
        <w:rPr>
          <w:rFonts w:cstheme="minorHAnsi"/>
          <w:sz w:val="24"/>
          <w:szCs w:val="24"/>
        </w:rPr>
        <w:t xml:space="preserve"> from a stroke in Nevada. </w:t>
      </w:r>
    </w:p>
    <w:p w14:paraId="435E284C" w14:textId="77777777" w:rsidR="00103545" w:rsidRPr="00C31A29" w:rsidRDefault="00103545" w:rsidP="00162E09">
      <w:pPr>
        <w:autoSpaceDE w:val="0"/>
        <w:autoSpaceDN w:val="0"/>
        <w:adjustRightInd w:val="0"/>
        <w:spacing w:after="0"/>
        <w:jc w:val="both"/>
        <w:rPr>
          <w:rFonts w:cstheme="minorHAnsi"/>
          <w:sz w:val="24"/>
          <w:szCs w:val="24"/>
        </w:rPr>
      </w:pPr>
    </w:p>
    <w:p w14:paraId="0E3CD197" w14:textId="501F61DB" w:rsidR="00103545" w:rsidRPr="00C31A29" w:rsidRDefault="00103545" w:rsidP="00162E09">
      <w:pPr>
        <w:autoSpaceDE w:val="0"/>
        <w:autoSpaceDN w:val="0"/>
        <w:adjustRightInd w:val="0"/>
        <w:spacing w:after="0"/>
        <w:jc w:val="both"/>
        <w:rPr>
          <w:rFonts w:cstheme="minorHAnsi"/>
          <w:sz w:val="24"/>
          <w:szCs w:val="24"/>
        </w:rPr>
      </w:pPr>
      <w:r w:rsidRPr="00C31A29">
        <w:rPr>
          <w:rFonts w:cstheme="minorHAnsi"/>
          <w:sz w:val="24"/>
          <w:szCs w:val="24"/>
        </w:rPr>
        <w:t>In 2015, the 78</w:t>
      </w:r>
      <w:r w:rsidRPr="00C31A29">
        <w:rPr>
          <w:rFonts w:cstheme="minorHAnsi"/>
          <w:sz w:val="24"/>
          <w:szCs w:val="24"/>
          <w:vertAlign w:val="superscript"/>
        </w:rPr>
        <w:t>th</w:t>
      </w:r>
      <w:r w:rsidRPr="00C31A29">
        <w:rPr>
          <w:rFonts w:cstheme="minorHAnsi"/>
          <w:sz w:val="24"/>
          <w:szCs w:val="24"/>
        </w:rPr>
        <w:t xml:space="preserve"> Nevada legislati</w:t>
      </w:r>
      <w:r w:rsidR="001F634C" w:rsidRPr="00C31A29">
        <w:rPr>
          <w:rFonts w:cstheme="minorHAnsi"/>
          <w:sz w:val="24"/>
          <w:szCs w:val="24"/>
        </w:rPr>
        <w:t>ve</w:t>
      </w:r>
      <w:r w:rsidRPr="00C31A29">
        <w:rPr>
          <w:rFonts w:cstheme="minorHAnsi"/>
          <w:sz w:val="24"/>
          <w:szCs w:val="24"/>
        </w:rPr>
        <w:t xml:space="preserve"> session passed </w:t>
      </w:r>
      <w:hyperlink r:id="rId13" w:history="1">
        <w:r w:rsidRPr="00C31A29">
          <w:rPr>
            <w:rStyle w:val="Hyperlink"/>
            <w:sz w:val="24"/>
            <w:szCs w:val="24"/>
          </w:rPr>
          <w:t>N</w:t>
        </w:r>
        <w:r w:rsidRPr="00C31A29">
          <w:rPr>
            <w:rStyle w:val="Hyperlink"/>
            <w:rFonts w:cstheme="minorHAnsi"/>
            <w:sz w:val="24"/>
            <w:szCs w:val="24"/>
          </w:rPr>
          <w:t xml:space="preserve">evada </w:t>
        </w:r>
        <w:r w:rsidRPr="00C31A29">
          <w:rPr>
            <w:rStyle w:val="Hyperlink"/>
            <w:sz w:val="24"/>
            <w:szCs w:val="24"/>
          </w:rPr>
          <w:t>R</w:t>
        </w:r>
        <w:r w:rsidRPr="00C31A29">
          <w:rPr>
            <w:rStyle w:val="Hyperlink"/>
            <w:rFonts w:cstheme="minorHAnsi"/>
            <w:sz w:val="24"/>
            <w:szCs w:val="24"/>
          </w:rPr>
          <w:t xml:space="preserve">evised </w:t>
        </w:r>
        <w:r w:rsidRPr="00C31A29">
          <w:rPr>
            <w:rStyle w:val="Hyperlink"/>
            <w:sz w:val="24"/>
            <w:szCs w:val="24"/>
          </w:rPr>
          <w:t>S</w:t>
        </w:r>
        <w:r w:rsidRPr="00C31A29">
          <w:rPr>
            <w:rStyle w:val="Hyperlink"/>
            <w:rFonts w:cstheme="minorHAnsi"/>
            <w:sz w:val="24"/>
            <w:szCs w:val="24"/>
          </w:rPr>
          <w:t>tatue (NRS)</w:t>
        </w:r>
        <w:r w:rsidRPr="00C31A29">
          <w:rPr>
            <w:rStyle w:val="Hyperlink"/>
            <w:sz w:val="24"/>
            <w:szCs w:val="24"/>
          </w:rPr>
          <w:t xml:space="preserve"> 439.5291</w:t>
        </w:r>
      </w:hyperlink>
      <w:r w:rsidRPr="00C31A29">
        <w:rPr>
          <w:rStyle w:val="Hyperlink"/>
          <w:sz w:val="24"/>
          <w:szCs w:val="24"/>
        </w:rPr>
        <w:t>,</w:t>
      </w:r>
      <w:r w:rsidRPr="00C31A29">
        <w:rPr>
          <w:rFonts w:cstheme="minorHAnsi"/>
          <w:sz w:val="24"/>
          <w:szCs w:val="24"/>
        </w:rPr>
        <w:t xml:space="preserve"> requiring DPBH to establish and maintain a Stroke Registry to compile information and statistics concerning the treatment of patients who suffer from strokes. Maintaining a Stroke Registry</w:t>
      </w:r>
      <w:r w:rsidR="00E545A7" w:rsidRPr="00C31A29">
        <w:rPr>
          <w:rFonts w:cstheme="minorHAnsi"/>
          <w:sz w:val="24"/>
          <w:szCs w:val="24"/>
        </w:rPr>
        <w:t xml:space="preserve"> database</w:t>
      </w:r>
      <w:r w:rsidRPr="00C31A29">
        <w:rPr>
          <w:rFonts w:cstheme="minorHAnsi"/>
          <w:sz w:val="24"/>
          <w:szCs w:val="24"/>
        </w:rPr>
        <w:t xml:space="preserve"> enables DPBH to better align with the </w:t>
      </w:r>
      <w:r w:rsidR="00E545A7" w:rsidRPr="00C31A29">
        <w:rPr>
          <w:rFonts w:cstheme="minorHAnsi"/>
          <w:sz w:val="24"/>
          <w:szCs w:val="24"/>
        </w:rPr>
        <w:t xml:space="preserve">performance </w:t>
      </w:r>
      <w:r w:rsidRPr="00C31A29">
        <w:rPr>
          <w:rFonts w:cstheme="minorHAnsi"/>
          <w:sz w:val="24"/>
          <w:szCs w:val="24"/>
        </w:rPr>
        <w:t>measures prescribed by the Paul Coverdell National Acute Stroke Registry of the Centers for Disease Control and Prevention (CDC), the American Heart Association (AHA), and the American Stroke Association (ASA). The law requires DPBH to use the</w:t>
      </w:r>
      <w:r w:rsidRPr="00C31A29">
        <w:rPr>
          <w:rFonts w:cstheme="minorHAnsi"/>
          <w:color w:val="000000"/>
          <w:sz w:val="24"/>
          <w:szCs w:val="24"/>
        </w:rPr>
        <w:t xml:space="preserve"> </w:t>
      </w:r>
      <w:r w:rsidRPr="00C31A29">
        <w:rPr>
          <w:rFonts w:cstheme="minorHAnsi"/>
          <w:i/>
          <w:iCs/>
          <w:color w:val="000000"/>
          <w:sz w:val="24"/>
          <w:szCs w:val="24"/>
        </w:rPr>
        <w:t xml:space="preserve">Get </w:t>
      </w:r>
      <w:proofErr w:type="gramStart"/>
      <w:r w:rsidRPr="00C31A29">
        <w:rPr>
          <w:rFonts w:cstheme="minorHAnsi"/>
          <w:i/>
          <w:iCs/>
          <w:color w:val="000000"/>
          <w:sz w:val="24"/>
          <w:szCs w:val="24"/>
        </w:rPr>
        <w:t>With</w:t>
      </w:r>
      <w:proofErr w:type="gramEnd"/>
      <w:r w:rsidRPr="00C31A29">
        <w:rPr>
          <w:rFonts w:cstheme="minorHAnsi"/>
          <w:i/>
          <w:iCs/>
          <w:color w:val="000000"/>
          <w:sz w:val="24"/>
          <w:szCs w:val="24"/>
        </w:rPr>
        <w:t xml:space="preserve"> The Guidelines-Stroke (GWTG-S)</w:t>
      </w:r>
      <w:r w:rsidRPr="00C31A29">
        <w:rPr>
          <w:rFonts w:cstheme="minorHAnsi"/>
          <w:color w:val="000000"/>
          <w:sz w:val="24"/>
          <w:szCs w:val="24"/>
        </w:rPr>
        <w:t xml:space="preserve"> data management </w:t>
      </w:r>
      <w:r w:rsidR="00E545A7" w:rsidRPr="00C31A29">
        <w:rPr>
          <w:rFonts w:cstheme="minorHAnsi"/>
          <w:color w:val="000000"/>
          <w:sz w:val="24"/>
          <w:szCs w:val="24"/>
        </w:rPr>
        <w:t>database</w:t>
      </w:r>
      <w:r w:rsidRPr="00C31A29">
        <w:rPr>
          <w:rFonts w:cstheme="minorHAnsi"/>
          <w:color w:val="000000"/>
          <w:sz w:val="24"/>
          <w:szCs w:val="24"/>
        </w:rPr>
        <w:t xml:space="preserve"> established by the AHA and the ASA to compile and provide a comprehensive annual report. </w:t>
      </w:r>
      <w:r w:rsidRPr="00C31A29">
        <w:rPr>
          <w:rFonts w:cstheme="minorHAnsi"/>
          <w:sz w:val="24"/>
          <w:szCs w:val="24"/>
        </w:rPr>
        <w:t>The AHA, ASA, Nevada Hospital Association, and the Nevada Rural Hospital Partners provided support for the passing of the bill.</w:t>
      </w:r>
    </w:p>
    <w:p w14:paraId="4E41497F" w14:textId="77777777" w:rsidR="00103545" w:rsidRPr="00C31A29" w:rsidRDefault="00103545" w:rsidP="00162E09">
      <w:pPr>
        <w:autoSpaceDE w:val="0"/>
        <w:autoSpaceDN w:val="0"/>
        <w:adjustRightInd w:val="0"/>
        <w:spacing w:after="0"/>
        <w:jc w:val="both"/>
        <w:rPr>
          <w:rFonts w:cstheme="minorHAnsi"/>
          <w:sz w:val="24"/>
          <w:szCs w:val="24"/>
        </w:rPr>
      </w:pPr>
    </w:p>
    <w:p w14:paraId="32685637" w14:textId="409C4C87" w:rsidR="00162E09" w:rsidRPr="00C31A29" w:rsidRDefault="00103545" w:rsidP="00162E09">
      <w:pPr>
        <w:spacing w:after="0"/>
        <w:jc w:val="both"/>
        <w:rPr>
          <w:rFonts w:cstheme="minorHAnsi"/>
          <w:sz w:val="24"/>
          <w:szCs w:val="24"/>
        </w:rPr>
      </w:pPr>
      <w:r w:rsidRPr="00C31A29">
        <w:rPr>
          <w:rFonts w:cstheme="minorHAnsi"/>
          <w:sz w:val="24"/>
          <w:szCs w:val="24"/>
        </w:rPr>
        <w:t xml:space="preserve">Per NRS, The HDSP Program began utilizing the nationally recognized GWTG-S Registry Program as the </w:t>
      </w:r>
      <w:r w:rsidR="00162E09" w:rsidRPr="00C31A29">
        <w:rPr>
          <w:rFonts w:cstheme="minorHAnsi"/>
          <w:sz w:val="24"/>
          <w:szCs w:val="24"/>
        </w:rPr>
        <w:t>s</w:t>
      </w:r>
      <w:r w:rsidRPr="00C31A29">
        <w:rPr>
          <w:rFonts w:cstheme="minorHAnsi"/>
          <w:sz w:val="24"/>
          <w:szCs w:val="24"/>
        </w:rPr>
        <w:t>tate’s standardized stroke registry data program. Stroke centers in Nevada are required to report</w:t>
      </w:r>
      <w:r w:rsidR="0023578A" w:rsidRPr="00C31A29">
        <w:rPr>
          <w:rFonts w:cstheme="minorHAnsi"/>
          <w:sz w:val="24"/>
          <w:szCs w:val="24"/>
        </w:rPr>
        <w:t xml:space="preserve"> data to</w:t>
      </w:r>
      <w:r w:rsidRPr="00C31A29">
        <w:rPr>
          <w:rFonts w:cstheme="minorHAnsi"/>
          <w:sz w:val="24"/>
          <w:szCs w:val="24"/>
        </w:rPr>
        <w:t xml:space="preserve"> the Nevada Stroke Registry annually. As of 2018, the HDSP Program maintains super-user access to the GWTG Registry to review, compile, and make stroke prevention recommendations. </w:t>
      </w:r>
    </w:p>
    <w:p w14:paraId="54145FBA" w14:textId="77777777" w:rsidR="00162E09" w:rsidRPr="00C31A29" w:rsidRDefault="00162E09" w:rsidP="00162E09">
      <w:pPr>
        <w:spacing w:after="0"/>
        <w:jc w:val="both"/>
        <w:rPr>
          <w:rFonts w:cstheme="minorHAnsi"/>
          <w:sz w:val="24"/>
          <w:szCs w:val="24"/>
        </w:rPr>
      </w:pPr>
    </w:p>
    <w:p w14:paraId="150B105D" w14:textId="5986EB92" w:rsidR="00103545" w:rsidRPr="00C31A29" w:rsidRDefault="00103545" w:rsidP="00162E09">
      <w:pPr>
        <w:spacing w:after="0"/>
        <w:jc w:val="both"/>
        <w:rPr>
          <w:rFonts w:cstheme="minorHAnsi"/>
          <w:sz w:val="24"/>
          <w:szCs w:val="24"/>
        </w:rPr>
      </w:pPr>
      <w:r w:rsidRPr="00C31A29">
        <w:rPr>
          <w:rFonts w:cstheme="minorHAnsi"/>
          <w:sz w:val="24"/>
          <w:szCs w:val="24"/>
        </w:rPr>
        <w:t xml:space="preserve">The GWTG </w:t>
      </w:r>
      <w:r w:rsidR="006C61EE" w:rsidRPr="00C31A29">
        <w:rPr>
          <w:rFonts w:cstheme="minorHAnsi"/>
          <w:sz w:val="24"/>
          <w:szCs w:val="24"/>
        </w:rPr>
        <w:t xml:space="preserve">Registry </w:t>
      </w:r>
      <w:r w:rsidRPr="00C31A29">
        <w:rPr>
          <w:rFonts w:cstheme="minorHAnsi"/>
          <w:sz w:val="24"/>
          <w:szCs w:val="24"/>
        </w:rPr>
        <w:t xml:space="preserve">Program is used nationally to help ensure hospitals treat patients according to current nationally accepted recommendations and guidelines. The GWTG-S </w:t>
      </w:r>
      <w:r w:rsidR="00162E09" w:rsidRPr="00C31A29">
        <w:rPr>
          <w:rFonts w:cstheme="minorHAnsi"/>
          <w:sz w:val="24"/>
          <w:szCs w:val="24"/>
        </w:rPr>
        <w:t>R</w:t>
      </w:r>
      <w:r w:rsidRPr="00C31A29">
        <w:rPr>
          <w:rFonts w:cstheme="minorHAnsi"/>
          <w:sz w:val="24"/>
          <w:szCs w:val="24"/>
        </w:rPr>
        <w:t xml:space="preserve">egistry </w:t>
      </w:r>
      <w:r w:rsidR="00162E09" w:rsidRPr="00C31A29">
        <w:rPr>
          <w:rFonts w:cstheme="minorHAnsi"/>
          <w:sz w:val="24"/>
          <w:szCs w:val="24"/>
        </w:rPr>
        <w:t>P</w:t>
      </w:r>
      <w:r w:rsidRPr="00C31A29">
        <w:rPr>
          <w:rFonts w:cstheme="minorHAnsi"/>
          <w:sz w:val="24"/>
          <w:szCs w:val="24"/>
        </w:rPr>
        <w:t xml:space="preserve">rogram is a platform designed to improve stroke care by promoting consistent adherence to the latest scientific treatment guidelines. Hospitals using the GWTG Registry can review real-time performance measures, identify interventions, and maximize patient care. The Nevada Stroke Registry aims to compile and analyze stroke data in an aggregate manner to enhance surveillance and improve stroke survivorship and parity of care statewide, thereby decreasing the burden of disability. </w:t>
      </w:r>
    </w:p>
    <w:p w14:paraId="647F8B50" w14:textId="77777777" w:rsidR="00103545" w:rsidRPr="00C31A29" w:rsidRDefault="00103545" w:rsidP="00162E09">
      <w:pPr>
        <w:spacing w:after="0"/>
        <w:jc w:val="both"/>
        <w:rPr>
          <w:rFonts w:cstheme="minorHAnsi"/>
          <w:sz w:val="24"/>
          <w:szCs w:val="24"/>
        </w:rPr>
      </w:pPr>
    </w:p>
    <w:p w14:paraId="6A464A61" w14:textId="067C8226" w:rsidR="00103545" w:rsidRPr="00C31A29" w:rsidRDefault="00103545" w:rsidP="00162E09">
      <w:pPr>
        <w:spacing w:after="0"/>
        <w:jc w:val="both"/>
        <w:rPr>
          <w:rFonts w:cstheme="minorHAnsi"/>
          <w:strike/>
          <w:sz w:val="24"/>
          <w:szCs w:val="24"/>
        </w:rPr>
      </w:pPr>
      <w:r w:rsidRPr="00C31A29">
        <w:rPr>
          <w:rFonts w:cstheme="minorHAnsi"/>
          <w:sz w:val="24"/>
          <w:szCs w:val="24"/>
        </w:rPr>
        <w:t xml:space="preserve">To further assist with these efforts, the HDSP Program fostered the development of the Nevada HDSP Taskforce to engage and promote quality improvement to stroke care in Nevada. The Nevada Stroke Registry aligns with the goals of the Nevada HDSP Taskforce for the use of clinical best practices in pre-hospital and hospital settings. The HDSP Taskforce Strategic Plan Goal 1 aligns with the health promotion of the Nevada Stroke Registry. </w:t>
      </w:r>
    </w:p>
    <w:p w14:paraId="1E3B7354" w14:textId="77777777" w:rsidR="00055427" w:rsidRPr="00C31A29" w:rsidRDefault="00055427" w:rsidP="00162E09">
      <w:pPr>
        <w:spacing w:after="0"/>
        <w:jc w:val="both"/>
        <w:rPr>
          <w:rFonts w:cstheme="minorHAnsi"/>
          <w:sz w:val="24"/>
          <w:szCs w:val="24"/>
        </w:rPr>
      </w:pPr>
    </w:p>
    <w:p w14:paraId="436F30BD" w14:textId="72EE1CB0" w:rsidR="002511D5" w:rsidRPr="001925F3" w:rsidRDefault="00103545" w:rsidP="00162E09">
      <w:pPr>
        <w:spacing w:after="0"/>
        <w:jc w:val="both"/>
        <w:rPr>
          <w:rFonts w:cstheme="minorHAnsi"/>
          <w:sz w:val="24"/>
          <w:szCs w:val="24"/>
        </w:rPr>
      </w:pPr>
      <w:r w:rsidRPr="00C31A29" w:rsidDel="009B2C1F">
        <w:rPr>
          <w:rFonts w:cstheme="minorHAnsi"/>
          <w:sz w:val="24"/>
          <w:szCs w:val="24"/>
        </w:rPr>
        <w:t xml:space="preserve"> </w:t>
      </w:r>
      <w:r w:rsidRPr="00C31A29">
        <w:rPr>
          <w:rFonts w:cstheme="minorHAnsi"/>
          <w:b/>
          <w:sz w:val="24"/>
          <w:szCs w:val="24"/>
        </w:rPr>
        <w:t>Goal 1</w:t>
      </w:r>
      <w:r w:rsidRPr="00C31A29">
        <w:rPr>
          <w:rFonts w:cstheme="minorHAnsi"/>
          <w:sz w:val="24"/>
          <w:szCs w:val="24"/>
        </w:rPr>
        <w:t>:  To promote the adoption of evidence-based quality measurement at the provider level.</w:t>
      </w:r>
      <w:r w:rsidR="00162E09" w:rsidRPr="00C31A29">
        <w:rPr>
          <w:rFonts w:cstheme="minorHAnsi"/>
          <w:sz w:val="24"/>
          <w:szCs w:val="24"/>
        </w:rPr>
        <w:t xml:space="preserve"> Per NRS, </w:t>
      </w:r>
      <w:r w:rsidR="005A39E6" w:rsidRPr="00C31A29">
        <w:rPr>
          <w:rFonts w:cstheme="minorHAnsi"/>
          <w:sz w:val="24"/>
          <w:szCs w:val="24"/>
        </w:rPr>
        <w:t xml:space="preserve">the </w:t>
      </w:r>
      <w:r w:rsidR="008D3FB9" w:rsidRPr="00C31A29">
        <w:rPr>
          <w:rFonts w:cstheme="minorHAnsi"/>
          <w:sz w:val="24"/>
          <w:szCs w:val="24"/>
        </w:rPr>
        <w:t xml:space="preserve">HDSP Taskforce will </w:t>
      </w:r>
      <w:r w:rsidR="00162E09" w:rsidRPr="00C31A29">
        <w:rPr>
          <w:rFonts w:cstheme="minorHAnsi"/>
          <w:sz w:val="24"/>
          <w:szCs w:val="24"/>
        </w:rPr>
        <w:t>encourage DPBH to increase awareness of and reporting to the Stroke Registry by primary stroke centers, health care providers, and providers of Emergency Medical Services (EMS) treating patients who suffer from strokes in Nevada. This outreach further facilitates sharing and analysis of stroke-related data and improvement in the quality of care for patients who experience stroke.</w:t>
      </w:r>
      <w:r w:rsidR="00162E09">
        <w:rPr>
          <w:rFonts w:cstheme="minorHAnsi"/>
          <w:sz w:val="24"/>
          <w:szCs w:val="24"/>
        </w:rPr>
        <w:br w:type="page"/>
      </w:r>
    </w:p>
    <w:p w14:paraId="2FC9EA0B" w14:textId="3654139B" w:rsidR="00FE2153" w:rsidRPr="001925F3" w:rsidRDefault="00FE2153" w:rsidP="009259B0">
      <w:pPr>
        <w:pStyle w:val="Heading1STD0"/>
        <w:spacing w:before="0" w:after="0"/>
        <w:rPr>
          <w:rFonts w:asciiTheme="minorHAnsi" w:hAnsiTheme="minorHAnsi" w:cstheme="minorHAnsi"/>
          <w:szCs w:val="28"/>
        </w:rPr>
      </w:pPr>
      <w:bookmarkStart w:id="7" w:name="_Hlk38895419"/>
      <w:r w:rsidRPr="001925F3">
        <w:rPr>
          <w:rFonts w:asciiTheme="minorHAnsi" w:hAnsiTheme="minorHAnsi" w:cstheme="minorHAnsi"/>
          <w:sz w:val="36"/>
          <w:szCs w:val="36"/>
        </w:rPr>
        <w:lastRenderedPageBreak/>
        <w:t>Nevada Stroke Burden</w:t>
      </w:r>
    </w:p>
    <w:p w14:paraId="0999ACB5" w14:textId="3AD59707" w:rsidR="008C0238" w:rsidRPr="00C31A29" w:rsidRDefault="00D457D9" w:rsidP="001D2178">
      <w:pPr>
        <w:spacing w:before="120" w:after="0"/>
        <w:jc w:val="both"/>
        <w:rPr>
          <w:rFonts w:cstheme="minorHAnsi"/>
          <w:sz w:val="24"/>
          <w:szCs w:val="24"/>
        </w:rPr>
      </w:pPr>
      <w:bookmarkStart w:id="8" w:name="_Hlk38895473"/>
      <w:r w:rsidRPr="00C31A29">
        <w:rPr>
          <w:rFonts w:cstheme="minorHAnsi"/>
          <w:sz w:val="24"/>
          <w:szCs w:val="24"/>
        </w:rPr>
        <w:t xml:space="preserve">Heart disease is the leading cause of death in </w:t>
      </w:r>
      <w:r w:rsidR="00E545A7" w:rsidRPr="00C31A29">
        <w:rPr>
          <w:rFonts w:cstheme="minorHAnsi"/>
          <w:sz w:val="24"/>
          <w:szCs w:val="24"/>
        </w:rPr>
        <w:t xml:space="preserve">Nevada and in </w:t>
      </w:r>
      <w:r w:rsidRPr="00C31A29">
        <w:rPr>
          <w:rFonts w:cstheme="minorHAnsi"/>
          <w:sz w:val="24"/>
          <w:szCs w:val="24"/>
        </w:rPr>
        <w:t>the United States (U.S.) while stroke is</w:t>
      </w:r>
      <w:r w:rsidR="00C05167" w:rsidRPr="00C31A29">
        <w:rPr>
          <w:rFonts w:cstheme="minorHAnsi"/>
          <w:sz w:val="24"/>
          <w:szCs w:val="24"/>
        </w:rPr>
        <w:t xml:space="preserve"> the</w:t>
      </w:r>
      <w:r w:rsidRPr="00C31A29">
        <w:rPr>
          <w:rFonts w:cstheme="minorHAnsi"/>
          <w:sz w:val="24"/>
          <w:szCs w:val="24"/>
        </w:rPr>
        <w:t xml:space="preserve"> fifth leading cause of death in </w:t>
      </w:r>
      <w:r w:rsidR="00E545A7" w:rsidRPr="00C31A29">
        <w:rPr>
          <w:rFonts w:cstheme="minorHAnsi"/>
          <w:sz w:val="24"/>
          <w:szCs w:val="24"/>
        </w:rPr>
        <w:t xml:space="preserve">Nevada and in </w:t>
      </w:r>
      <w:r w:rsidRPr="00C31A29">
        <w:rPr>
          <w:rFonts w:cstheme="minorHAnsi"/>
          <w:sz w:val="24"/>
          <w:szCs w:val="24"/>
        </w:rPr>
        <w:t xml:space="preserve">the U.S. </w:t>
      </w:r>
      <w:r w:rsidR="00C87FBD" w:rsidRPr="00C31A29">
        <w:rPr>
          <w:rFonts w:cstheme="minorHAnsi"/>
          <w:sz w:val="24"/>
          <w:szCs w:val="24"/>
          <w:vertAlign w:val="superscript"/>
        </w:rPr>
        <w:t>1,2</w:t>
      </w:r>
    </w:p>
    <w:p w14:paraId="7A0887EA" w14:textId="77777777" w:rsidR="00D457D9" w:rsidRPr="00C31A29" w:rsidRDefault="00D457D9" w:rsidP="001D2178">
      <w:pPr>
        <w:spacing w:after="0"/>
        <w:jc w:val="both"/>
        <w:rPr>
          <w:rFonts w:cstheme="minorHAnsi"/>
          <w:sz w:val="24"/>
          <w:szCs w:val="24"/>
        </w:rPr>
      </w:pPr>
    </w:p>
    <w:p w14:paraId="650367E4" w14:textId="65AE73B6" w:rsidR="00DD7AEC" w:rsidRPr="00C31A29" w:rsidRDefault="00485406" w:rsidP="001D2178">
      <w:pPr>
        <w:spacing w:after="0"/>
        <w:jc w:val="both"/>
        <w:rPr>
          <w:rFonts w:cstheme="minorHAnsi"/>
          <w:sz w:val="24"/>
          <w:szCs w:val="24"/>
        </w:rPr>
      </w:pPr>
      <w:r>
        <w:rPr>
          <w:rFonts w:cstheme="minorHAnsi"/>
          <w:sz w:val="24"/>
          <w:szCs w:val="24"/>
        </w:rPr>
        <w:t xml:space="preserve">Approximately 610,000 Americans experience a new or first-time stroke, and </w:t>
      </w:r>
      <w:r w:rsidRPr="00C31A29">
        <w:rPr>
          <w:rFonts w:cstheme="minorHAnsi"/>
          <w:sz w:val="24"/>
          <w:szCs w:val="24"/>
        </w:rPr>
        <w:t xml:space="preserve">185,000 </w:t>
      </w:r>
      <w:r>
        <w:rPr>
          <w:rFonts w:cstheme="minorHAnsi"/>
          <w:sz w:val="24"/>
          <w:szCs w:val="24"/>
        </w:rPr>
        <w:t>Americans experience a</w:t>
      </w:r>
      <w:r w:rsidRPr="00C31A29">
        <w:rPr>
          <w:rFonts w:cstheme="minorHAnsi"/>
          <w:sz w:val="24"/>
          <w:szCs w:val="24"/>
        </w:rPr>
        <w:t xml:space="preserve"> </w:t>
      </w:r>
      <w:r w:rsidR="002D275F" w:rsidRPr="00C31A29">
        <w:rPr>
          <w:rFonts w:cstheme="minorHAnsi"/>
          <w:sz w:val="24"/>
          <w:szCs w:val="24"/>
        </w:rPr>
        <w:t>previous stroke (1 of 4 people)</w:t>
      </w:r>
      <w:r>
        <w:rPr>
          <w:rFonts w:cstheme="minorHAnsi"/>
          <w:sz w:val="24"/>
          <w:szCs w:val="24"/>
        </w:rPr>
        <w:t xml:space="preserve"> </w:t>
      </w:r>
      <w:r w:rsidR="002D275F">
        <w:rPr>
          <w:rFonts w:cstheme="minorHAnsi"/>
          <w:sz w:val="24"/>
          <w:szCs w:val="24"/>
        </w:rPr>
        <w:t>totaling</w:t>
      </w:r>
      <w:r>
        <w:rPr>
          <w:rFonts w:cstheme="minorHAnsi"/>
          <w:sz w:val="24"/>
          <w:szCs w:val="24"/>
        </w:rPr>
        <w:t xml:space="preserve"> 795,000 Americans experiencing a stroke each year.</w:t>
      </w:r>
      <w:r w:rsidRPr="00485406">
        <w:rPr>
          <w:rFonts w:cstheme="minorHAnsi"/>
          <w:sz w:val="24"/>
          <w:szCs w:val="24"/>
          <w:vertAlign w:val="superscript"/>
        </w:rPr>
        <w:t xml:space="preserve"> </w:t>
      </w:r>
      <w:r w:rsidRPr="00C31A29">
        <w:rPr>
          <w:rFonts w:cstheme="minorHAnsi"/>
          <w:sz w:val="24"/>
          <w:szCs w:val="24"/>
          <w:vertAlign w:val="superscript"/>
        </w:rPr>
        <w:t>1</w:t>
      </w:r>
      <w:r>
        <w:rPr>
          <w:rFonts w:cstheme="minorHAnsi"/>
          <w:sz w:val="24"/>
          <w:szCs w:val="24"/>
        </w:rPr>
        <w:t xml:space="preserve"> </w:t>
      </w:r>
      <w:r w:rsidR="00FE2210" w:rsidRPr="00C31A29">
        <w:rPr>
          <w:rFonts w:cstheme="minorHAnsi"/>
          <w:sz w:val="24"/>
          <w:szCs w:val="24"/>
        </w:rPr>
        <w:t>Stroke</w:t>
      </w:r>
      <w:r w:rsidR="008D3FB9" w:rsidRPr="00C31A29">
        <w:rPr>
          <w:rFonts w:cstheme="minorHAnsi"/>
          <w:sz w:val="24"/>
          <w:szCs w:val="24"/>
        </w:rPr>
        <w:t>s</w:t>
      </w:r>
      <w:r w:rsidR="00FE2210" w:rsidRPr="00C31A29">
        <w:rPr>
          <w:rFonts w:cstheme="minorHAnsi"/>
          <w:sz w:val="24"/>
          <w:szCs w:val="24"/>
        </w:rPr>
        <w:t xml:space="preserve"> </w:t>
      </w:r>
      <w:r w:rsidR="0044253A" w:rsidRPr="00C31A29">
        <w:rPr>
          <w:rFonts w:cstheme="minorHAnsi"/>
          <w:sz w:val="24"/>
          <w:szCs w:val="24"/>
        </w:rPr>
        <w:t>kill more than 14</w:t>
      </w:r>
      <w:r w:rsidR="00CC1E5B" w:rsidRPr="00C31A29">
        <w:rPr>
          <w:rFonts w:cstheme="minorHAnsi"/>
          <w:sz w:val="24"/>
          <w:szCs w:val="24"/>
        </w:rPr>
        <w:t>0,000 Americans</w:t>
      </w:r>
      <w:r w:rsidR="009F0F2C" w:rsidRPr="00C31A29">
        <w:rPr>
          <w:rFonts w:cstheme="minorHAnsi"/>
          <w:sz w:val="24"/>
          <w:szCs w:val="24"/>
        </w:rPr>
        <w:t xml:space="preserve"> (1 of 20 deaths)</w:t>
      </w:r>
      <w:r w:rsidR="00CC1E5B" w:rsidRPr="00C31A29">
        <w:rPr>
          <w:rFonts w:cstheme="minorHAnsi"/>
          <w:sz w:val="24"/>
          <w:szCs w:val="24"/>
        </w:rPr>
        <w:t xml:space="preserve"> ea</w:t>
      </w:r>
      <w:r w:rsidR="00636631" w:rsidRPr="00C31A29">
        <w:rPr>
          <w:rFonts w:cstheme="minorHAnsi"/>
          <w:sz w:val="24"/>
          <w:szCs w:val="24"/>
        </w:rPr>
        <w:t>ch year</w:t>
      </w:r>
      <w:r>
        <w:rPr>
          <w:rFonts w:cstheme="minorHAnsi"/>
          <w:sz w:val="24"/>
          <w:szCs w:val="24"/>
        </w:rPr>
        <w:t>. Every 40 seconds someone has a stroke and every four minutes someone dies of a stroke</w:t>
      </w:r>
      <w:r w:rsidR="00FE2210" w:rsidRPr="00C31A29">
        <w:rPr>
          <w:rFonts w:cstheme="minorHAnsi"/>
          <w:sz w:val="24"/>
          <w:szCs w:val="24"/>
        </w:rPr>
        <w:t xml:space="preserve">. </w:t>
      </w:r>
      <w:r w:rsidR="00FE2210" w:rsidRPr="00C31A29">
        <w:rPr>
          <w:rFonts w:cstheme="minorHAnsi"/>
          <w:sz w:val="24"/>
          <w:szCs w:val="24"/>
          <w:vertAlign w:val="superscript"/>
        </w:rPr>
        <w:t>1</w:t>
      </w:r>
      <w:r w:rsidR="00FE2210" w:rsidRPr="00C31A29">
        <w:rPr>
          <w:rFonts w:cstheme="minorHAnsi"/>
          <w:sz w:val="24"/>
          <w:szCs w:val="24"/>
        </w:rPr>
        <w:t xml:space="preserve"> </w:t>
      </w:r>
      <w:r w:rsidR="00FE2210" w:rsidRPr="00C31A29">
        <w:rPr>
          <w:rFonts w:cstheme="minorHAnsi"/>
          <w:sz w:val="24"/>
          <w:szCs w:val="24"/>
          <w:vertAlign w:val="superscript"/>
        </w:rPr>
        <w:t xml:space="preserve">2 </w:t>
      </w:r>
      <w:r w:rsidR="003F7392" w:rsidRPr="00C31A29">
        <w:rPr>
          <w:rFonts w:cstheme="minorHAnsi"/>
          <w:sz w:val="24"/>
          <w:szCs w:val="24"/>
        </w:rPr>
        <w:t xml:space="preserve">Stroke is </w:t>
      </w:r>
      <w:r w:rsidR="009F0F2C" w:rsidRPr="00C31A29">
        <w:rPr>
          <w:rFonts w:cstheme="minorHAnsi"/>
          <w:sz w:val="24"/>
          <w:szCs w:val="24"/>
        </w:rPr>
        <w:t xml:space="preserve">also </w:t>
      </w:r>
      <w:r>
        <w:rPr>
          <w:rFonts w:cstheme="minorHAnsi"/>
          <w:sz w:val="24"/>
          <w:szCs w:val="24"/>
        </w:rPr>
        <w:t>a</w:t>
      </w:r>
      <w:r w:rsidR="009F0F2C" w:rsidRPr="00C31A29">
        <w:rPr>
          <w:rFonts w:cstheme="minorHAnsi"/>
          <w:sz w:val="24"/>
          <w:szCs w:val="24"/>
        </w:rPr>
        <w:t xml:space="preserve"> </w:t>
      </w:r>
      <w:r w:rsidR="003F7392" w:rsidRPr="00C31A29">
        <w:rPr>
          <w:rFonts w:cstheme="minorHAnsi"/>
          <w:sz w:val="24"/>
          <w:szCs w:val="24"/>
        </w:rPr>
        <w:t xml:space="preserve">leading cause of long-term disability </w:t>
      </w:r>
      <w:r w:rsidR="00160C5C" w:rsidRPr="00C31A29">
        <w:rPr>
          <w:rFonts w:cstheme="minorHAnsi"/>
          <w:sz w:val="24"/>
          <w:szCs w:val="24"/>
        </w:rPr>
        <w:t>cost</w:t>
      </w:r>
      <w:r w:rsidR="00736BC2" w:rsidRPr="00C31A29">
        <w:rPr>
          <w:rFonts w:cstheme="minorHAnsi"/>
          <w:sz w:val="24"/>
          <w:szCs w:val="24"/>
        </w:rPr>
        <w:t xml:space="preserve">ing the </w:t>
      </w:r>
      <w:r w:rsidR="009F0F2C" w:rsidRPr="00C31A29">
        <w:rPr>
          <w:rFonts w:cstheme="minorHAnsi"/>
          <w:sz w:val="24"/>
          <w:szCs w:val="24"/>
        </w:rPr>
        <w:t>U.S.</w:t>
      </w:r>
      <w:r w:rsidR="003F7392" w:rsidRPr="00C31A29">
        <w:rPr>
          <w:rFonts w:cstheme="minorHAnsi"/>
          <w:sz w:val="24"/>
          <w:szCs w:val="24"/>
        </w:rPr>
        <w:t xml:space="preserve"> $3</w:t>
      </w:r>
      <w:r w:rsidR="00FE2210" w:rsidRPr="00C31A29">
        <w:rPr>
          <w:rFonts w:cstheme="minorHAnsi"/>
          <w:sz w:val="24"/>
          <w:szCs w:val="24"/>
        </w:rPr>
        <w:t>4</w:t>
      </w:r>
      <w:r w:rsidR="003F7392" w:rsidRPr="00C31A29">
        <w:rPr>
          <w:rFonts w:cstheme="minorHAnsi"/>
          <w:sz w:val="24"/>
          <w:szCs w:val="24"/>
        </w:rPr>
        <w:t xml:space="preserve"> billion</w:t>
      </w:r>
      <w:r w:rsidR="00160C5C" w:rsidRPr="00C31A29">
        <w:rPr>
          <w:rFonts w:cstheme="minorHAnsi"/>
          <w:sz w:val="24"/>
          <w:szCs w:val="24"/>
        </w:rPr>
        <w:t xml:space="preserve"> annually</w:t>
      </w:r>
      <w:r w:rsidR="003F7392" w:rsidRPr="00C31A29">
        <w:rPr>
          <w:rFonts w:cstheme="minorHAnsi"/>
          <w:sz w:val="24"/>
          <w:szCs w:val="24"/>
        </w:rPr>
        <w:t>.</w:t>
      </w:r>
      <w:r w:rsidR="006C4A29" w:rsidRPr="00C31A29">
        <w:rPr>
          <w:rFonts w:cstheme="minorHAnsi"/>
          <w:sz w:val="24"/>
          <w:szCs w:val="24"/>
          <w:vertAlign w:val="superscript"/>
        </w:rPr>
        <w:t>3</w:t>
      </w:r>
    </w:p>
    <w:p w14:paraId="790C1354" w14:textId="77777777" w:rsidR="00D457D9" w:rsidRPr="00C31A29" w:rsidRDefault="00D457D9" w:rsidP="001D2178">
      <w:pPr>
        <w:spacing w:after="0"/>
        <w:jc w:val="both"/>
        <w:rPr>
          <w:rFonts w:cstheme="minorHAnsi"/>
          <w:sz w:val="24"/>
          <w:szCs w:val="24"/>
        </w:rPr>
      </w:pPr>
    </w:p>
    <w:p w14:paraId="0873AD8B" w14:textId="7A875D1F" w:rsidR="0071034A" w:rsidRPr="00C31A29" w:rsidRDefault="00485406" w:rsidP="001D2178">
      <w:pPr>
        <w:spacing w:after="0"/>
        <w:jc w:val="both"/>
        <w:rPr>
          <w:rFonts w:cstheme="minorHAnsi"/>
          <w:sz w:val="24"/>
          <w:szCs w:val="24"/>
        </w:rPr>
      </w:pPr>
      <w:r w:rsidRPr="00A33263">
        <w:rPr>
          <w:rFonts w:cstheme="minorHAnsi"/>
          <w:sz w:val="24"/>
          <w:szCs w:val="24"/>
        </w:rPr>
        <w:t xml:space="preserve">Strokes occur within any age across the lifespan, </w:t>
      </w:r>
      <w:r>
        <w:rPr>
          <w:rFonts w:cstheme="minorHAnsi"/>
          <w:sz w:val="24"/>
          <w:szCs w:val="24"/>
        </w:rPr>
        <w:t>though there are several risk factors linked to increased likelihood of developing one. R</w:t>
      </w:r>
      <w:r w:rsidR="008D3FB9" w:rsidRPr="00C31A29">
        <w:rPr>
          <w:rFonts w:cstheme="minorHAnsi"/>
          <w:sz w:val="24"/>
          <w:szCs w:val="24"/>
        </w:rPr>
        <w:t>isk factors</w:t>
      </w:r>
      <w:r w:rsidR="00A05E30" w:rsidRPr="00C31A29">
        <w:rPr>
          <w:rFonts w:cstheme="minorHAnsi"/>
          <w:sz w:val="24"/>
          <w:szCs w:val="24"/>
        </w:rPr>
        <w:t xml:space="preserve"> </w:t>
      </w:r>
      <w:r w:rsidR="00004F3C" w:rsidRPr="00C31A29">
        <w:rPr>
          <w:rFonts w:cstheme="minorHAnsi"/>
          <w:sz w:val="24"/>
          <w:szCs w:val="24"/>
        </w:rPr>
        <w:t>include diabetes, physical inactivity, obesity, alcohol abuse, tobacco use, and high blood pressure/cholesterol.</w:t>
      </w:r>
      <w:r w:rsidR="00004F3C" w:rsidRPr="00C31A29">
        <w:rPr>
          <w:rFonts w:cstheme="minorHAnsi"/>
          <w:sz w:val="24"/>
          <w:szCs w:val="24"/>
          <w:vertAlign w:val="superscript"/>
        </w:rPr>
        <w:t>4</w:t>
      </w:r>
      <w:r w:rsidR="00004F3C" w:rsidRPr="00C31A29">
        <w:rPr>
          <w:rFonts w:cstheme="minorHAnsi"/>
          <w:sz w:val="24"/>
          <w:szCs w:val="24"/>
        </w:rPr>
        <w:t xml:space="preserve"> </w:t>
      </w:r>
      <w:r w:rsidR="009F0F2C" w:rsidRPr="00C31A29">
        <w:rPr>
          <w:rFonts w:cstheme="minorHAnsi"/>
          <w:sz w:val="24"/>
          <w:szCs w:val="24"/>
        </w:rPr>
        <w:t>Tobacco use remains the leading cause of preventable death in the U.S.</w:t>
      </w:r>
      <w:r w:rsidR="00C05167" w:rsidRPr="00C31A29">
        <w:rPr>
          <w:rFonts w:cstheme="minorHAnsi"/>
          <w:sz w:val="24"/>
          <w:szCs w:val="24"/>
        </w:rPr>
        <w:t>,</w:t>
      </w:r>
      <w:r w:rsidR="009F0F2C" w:rsidRPr="00C31A29">
        <w:rPr>
          <w:rFonts w:cstheme="minorHAnsi"/>
          <w:sz w:val="24"/>
          <w:szCs w:val="24"/>
        </w:rPr>
        <w:t xml:space="preserve"> and one-third of American adults have high blood pressure, but more than half do not have it under control.</w:t>
      </w:r>
      <w:r w:rsidR="009F0F2C" w:rsidRPr="00C31A29">
        <w:rPr>
          <w:rFonts w:cstheme="minorHAnsi"/>
          <w:sz w:val="24"/>
          <w:szCs w:val="24"/>
          <w:vertAlign w:val="superscript"/>
        </w:rPr>
        <w:t>5</w:t>
      </w:r>
      <w:r w:rsidR="009F0F2C" w:rsidRPr="00C31A29">
        <w:rPr>
          <w:rFonts w:cstheme="minorHAnsi"/>
          <w:sz w:val="24"/>
          <w:szCs w:val="24"/>
        </w:rPr>
        <w:t xml:space="preserve"> </w:t>
      </w:r>
    </w:p>
    <w:p w14:paraId="5516DF88" w14:textId="77777777" w:rsidR="00B60774" w:rsidRPr="00C31A29" w:rsidRDefault="00B60774" w:rsidP="001D2178">
      <w:pPr>
        <w:spacing w:after="0"/>
        <w:jc w:val="both"/>
        <w:rPr>
          <w:rFonts w:cstheme="minorHAnsi"/>
          <w:sz w:val="24"/>
          <w:szCs w:val="24"/>
        </w:rPr>
      </w:pPr>
    </w:p>
    <w:p w14:paraId="0BB130BF" w14:textId="7A1A4680" w:rsidR="0071034A" w:rsidRPr="00C31A29" w:rsidRDefault="000B7F58" w:rsidP="001D2178">
      <w:pPr>
        <w:spacing w:after="0"/>
        <w:jc w:val="both"/>
        <w:rPr>
          <w:rFonts w:cstheme="minorHAnsi"/>
          <w:sz w:val="24"/>
          <w:szCs w:val="24"/>
          <w:vertAlign w:val="superscript"/>
        </w:rPr>
      </w:pPr>
      <w:r w:rsidRPr="00C31A29">
        <w:rPr>
          <w:rFonts w:cstheme="minorHAnsi"/>
          <w:sz w:val="24"/>
          <w:szCs w:val="24"/>
        </w:rPr>
        <w:t xml:space="preserve">In </w:t>
      </w:r>
      <w:r w:rsidR="001E4290" w:rsidRPr="00C31A29">
        <w:rPr>
          <w:rFonts w:cstheme="minorHAnsi"/>
          <w:sz w:val="24"/>
          <w:szCs w:val="24"/>
        </w:rPr>
        <w:t>F</w:t>
      </w:r>
      <w:r w:rsidR="00B60774" w:rsidRPr="00C31A29">
        <w:rPr>
          <w:rFonts w:cstheme="minorHAnsi"/>
          <w:sz w:val="24"/>
          <w:szCs w:val="24"/>
        </w:rPr>
        <w:t xml:space="preserve">igures 1 </w:t>
      </w:r>
      <w:r w:rsidRPr="00C31A29">
        <w:rPr>
          <w:rFonts w:cstheme="minorHAnsi"/>
          <w:sz w:val="24"/>
          <w:szCs w:val="24"/>
        </w:rPr>
        <w:t>–</w:t>
      </w:r>
      <w:r w:rsidR="00B60774" w:rsidRPr="00C31A29">
        <w:rPr>
          <w:rFonts w:cstheme="minorHAnsi"/>
          <w:sz w:val="24"/>
          <w:szCs w:val="24"/>
        </w:rPr>
        <w:t xml:space="preserve"> 6</w:t>
      </w:r>
      <w:r w:rsidRPr="00C31A29">
        <w:rPr>
          <w:rFonts w:cstheme="minorHAnsi"/>
          <w:sz w:val="24"/>
          <w:szCs w:val="24"/>
        </w:rPr>
        <w:t xml:space="preserve">, the data was obtained from </w:t>
      </w:r>
      <w:r w:rsidR="00D25E08" w:rsidRPr="00C31A29">
        <w:rPr>
          <w:rFonts w:cstheme="minorHAnsi"/>
          <w:sz w:val="24"/>
          <w:szCs w:val="24"/>
        </w:rPr>
        <w:t>Behavioral Risk Factor Surveillance System (BRFSS)</w:t>
      </w:r>
      <w:r w:rsidR="007A5251" w:rsidRPr="00C31A29">
        <w:rPr>
          <w:rFonts w:cstheme="minorHAnsi"/>
          <w:sz w:val="24"/>
          <w:szCs w:val="24"/>
        </w:rPr>
        <w:t>.</w:t>
      </w:r>
      <w:r w:rsidR="00E85EE4" w:rsidRPr="00C31A29">
        <w:rPr>
          <w:rFonts w:cstheme="minorHAnsi"/>
          <w:sz w:val="24"/>
          <w:szCs w:val="24"/>
        </w:rPr>
        <w:t xml:space="preserve"> </w:t>
      </w:r>
      <w:r w:rsidR="003F0131" w:rsidRPr="00C31A29">
        <w:rPr>
          <w:rFonts w:cstheme="minorHAnsi"/>
          <w:sz w:val="24"/>
          <w:szCs w:val="24"/>
        </w:rPr>
        <w:t xml:space="preserve">It is important to note, in 2011 BRFSS methodology </w:t>
      </w:r>
      <w:r w:rsidR="007A5251" w:rsidRPr="00C31A29">
        <w:rPr>
          <w:rFonts w:cstheme="minorHAnsi"/>
          <w:sz w:val="24"/>
          <w:szCs w:val="24"/>
        </w:rPr>
        <w:t xml:space="preserve">was updated </w:t>
      </w:r>
      <w:r w:rsidR="003F0131" w:rsidRPr="00C31A29">
        <w:rPr>
          <w:rFonts w:cstheme="minorHAnsi"/>
          <w:sz w:val="24"/>
          <w:szCs w:val="24"/>
        </w:rPr>
        <w:t>to include data received from cell phone users</w:t>
      </w:r>
      <w:r w:rsidR="00893E83">
        <w:rPr>
          <w:rFonts w:cstheme="minorHAnsi"/>
          <w:sz w:val="24"/>
          <w:szCs w:val="24"/>
        </w:rPr>
        <w:t>, necessitating a change in weighting methodology.</w:t>
      </w:r>
    </w:p>
    <w:p w14:paraId="0255AAA0" w14:textId="77777777" w:rsidR="00B60774" w:rsidRPr="00C31A29" w:rsidRDefault="00B60774" w:rsidP="001D2178">
      <w:pPr>
        <w:spacing w:after="0"/>
        <w:jc w:val="both"/>
        <w:rPr>
          <w:rFonts w:cstheme="minorHAnsi"/>
          <w:sz w:val="24"/>
          <w:szCs w:val="24"/>
        </w:rPr>
      </w:pPr>
    </w:p>
    <w:p w14:paraId="2C66EA56" w14:textId="27DE42AF" w:rsidR="00893E83" w:rsidRDefault="00893E83" w:rsidP="001D2178">
      <w:pPr>
        <w:spacing w:after="0"/>
        <w:jc w:val="both"/>
        <w:rPr>
          <w:rFonts w:cstheme="minorHAnsi"/>
          <w:sz w:val="24"/>
          <w:szCs w:val="24"/>
        </w:rPr>
      </w:pPr>
      <w:bookmarkStart w:id="9" w:name="_Hlk38895453"/>
      <w:bookmarkEnd w:id="8"/>
      <w:r>
        <w:rPr>
          <w:rFonts w:cstheme="minorHAnsi"/>
          <w:sz w:val="24"/>
          <w:szCs w:val="24"/>
        </w:rPr>
        <w:t>Figure one represents</w:t>
      </w:r>
      <w:r w:rsidR="000B7F58" w:rsidRPr="00C31A29">
        <w:rPr>
          <w:rFonts w:cstheme="minorHAnsi"/>
          <w:sz w:val="24"/>
          <w:szCs w:val="24"/>
        </w:rPr>
        <w:t xml:space="preserve"> t</w:t>
      </w:r>
      <w:r w:rsidR="00103545" w:rsidRPr="00C31A29">
        <w:rPr>
          <w:rFonts w:cstheme="minorHAnsi"/>
          <w:sz w:val="24"/>
          <w:szCs w:val="24"/>
        </w:rPr>
        <w:t xml:space="preserve">he prevalence of </w:t>
      </w:r>
      <w:r>
        <w:rPr>
          <w:rFonts w:cstheme="minorHAnsi"/>
          <w:sz w:val="24"/>
          <w:szCs w:val="24"/>
        </w:rPr>
        <w:t xml:space="preserve">stroke in Nevada is slightly lower </w:t>
      </w:r>
      <w:r w:rsidRPr="00E24E20">
        <w:rPr>
          <w:rFonts w:cstheme="minorHAnsi"/>
          <w:sz w:val="24"/>
          <w:szCs w:val="24"/>
        </w:rPr>
        <w:t>at 3.3 percent compared to the U.S. at 3.4 percent</w:t>
      </w:r>
      <w:r>
        <w:rPr>
          <w:rFonts w:cstheme="minorHAnsi"/>
          <w:sz w:val="24"/>
          <w:szCs w:val="24"/>
        </w:rPr>
        <w:t>, while h</w:t>
      </w:r>
      <w:r w:rsidRPr="00E24E20">
        <w:rPr>
          <w:rFonts w:cstheme="minorHAnsi"/>
          <w:sz w:val="24"/>
          <w:szCs w:val="24"/>
        </w:rPr>
        <w:t xml:space="preserve">eart </w:t>
      </w:r>
      <w:r>
        <w:rPr>
          <w:rFonts w:cstheme="minorHAnsi"/>
          <w:sz w:val="24"/>
          <w:szCs w:val="24"/>
        </w:rPr>
        <w:t>d</w:t>
      </w:r>
      <w:r w:rsidRPr="00E24E20">
        <w:rPr>
          <w:rFonts w:cstheme="minorHAnsi"/>
          <w:sz w:val="24"/>
          <w:szCs w:val="24"/>
        </w:rPr>
        <w:t xml:space="preserve">isease in Nevada and </w:t>
      </w:r>
      <w:r>
        <w:rPr>
          <w:rFonts w:cstheme="minorHAnsi"/>
          <w:sz w:val="24"/>
          <w:szCs w:val="24"/>
        </w:rPr>
        <w:t xml:space="preserve">the </w:t>
      </w:r>
      <w:r w:rsidRPr="00E24E20">
        <w:rPr>
          <w:rFonts w:cstheme="minorHAnsi"/>
          <w:sz w:val="24"/>
          <w:szCs w:val="24"/>
        </w:rPr>
        <w:t>U.S. are comparable, both measuring at 4.3 percent</w:t>
      </w:r>
      <w:r>
        <w:rPr>
          <w:rFonts w:cstheme="minorHAnsi"/>
          <w:sz w:val="24"/>
          <w:szCs w:val="24"/>
        </w:rPr>
        <w:t>.</w:t>
      </w:r>
    </w:p>
    <w:p w14:paraId="14B101BA" w14:textId="77777777" w:rsidR="00C22EB3" w:rsidRDefault="00C22EB3" w:rsidP="001D2178">
      <w:pPr>
        <w:spacing w:after="0"/>
        <w:jc w:val="both"/>
        <w:rPr>
          <w:rFonts w:cstheme="minorHAnsi"/>
          <w:sz w:val="24"/>
          <w:szCs w:val="24"/>
        </w:rPr>
      </w:pPr>
    </w:p>
    <w:p w14:paraId="45317769" w14:textId="2D405980" w:rsidR="00495EB9" w:rsidRPr="008E6FA8" w:rsidRDefault="00495EB9" w:rsidP="00C22EB3">
      <w:pPr>
        <w:spacing w:after="60"/>
        <w:rPr>
          <w:rFonts w:cstheme="minorHAnsi"/>
          <w:b/>
          <w:bCs/>
          <w:sz w:val="24"/>
        </w:rPr>
      </w:pPr>
      <w:r w:rsidRPr="00EB70C1">
        <w:rPr>
          <w:rFonts w:cstheme="minorHAnsi"/>
          <w:b/>
          <w:bCs/>
          <w:sz w:val="24"/>
        </w:rPr>
        <w:t>Figure 1.</w:t>
      </w:r>
      <w:r w:rsidR="003065EB" w:rsidRPr="00EB70C1">
        <w:rPr>
          <w:rFonts w:cstheme="minorHAnsi"/>
          <w:b/>
          <w:bCs/>
          <w:sz w:val="24"/>
        </w:rPr>
        <w:t xml:space="preserve"> </w:t>
      </w:r>
      <w:r w:rsidRPr="00EB70C1">
        <w:rPr>
          <w:rFonts w:cstheme="minorHAnsi"/>
          <w:b/>
          <w:bCs/>
          <w:sz w:val="24"/>
        </w:rPr>
        <w:t>Prevalence of Chronic Diseases,</w:t>
      </w:r>
      <w:r w:rsidR="003065EB" w:rsidRPr="00EB70C1">
        <w:rPr>
          <w:rFonts w:cstheme="minorHAnsi"/>
          <w:b/>
          <w:bCs/>
          <w:sz w:val="24"/>
        </w:rPr>
        <w:t xml:space="preserve"> BRFSS Data,</w:t>
      </w:r>
      <w:r w:rsidRPr="00EB70C1">
        <w:rPr>
          <w:rFonts w:cstheme="minorHAnsi"/>
          <w:b/>
          <w:bCs/>
          <w:sz w:val="24"/>
        </w:rPr>
        <w:t xml:space="preserve"> Nevada vs. U.S., 201</w:t>
      </w:r>
      <w:r w:rsidR="003065EB" w:rsidRPr="00EB70C1">
        <w:rPr>
          <w:rFonts w:cstheme="minorHAnsi"/>
          <w:b/>
          <w:bCs/>
          <w:sz w:val="24"/>
        </w:rPr>
        <w:t>8</w:t>
      </w:r>
    </w:p>
    <w:p w14:paraId="71A2CF22" w14:textId="18B64690" w:rsidR="002866BA" w:rsidRPr="00EB70C1" w:rsidRDefault="00A76792" w:rsidP="001D2178">
      <w:pPr>
        <w:spacing w:after="0"/>
        <w:rPr>
          <w:rFonts w:cstheme="minorHAnsi"/>
        </w:rPr>
      </w:pPr>
      <w:r w:rsidRPr="00272F5A">
        <w:rPr>
          <w:rFonts w:cstheme="minorHAnsi"/>
          <w:noProof/>
        </w:rPr>
        <w:drawing>
          <wp:inline distT="0" distB="0" distL="0" distR="0" wp14:anchorId="6E5B2D36" wp14:editId="482116C0">
            <wp:extent cx="6810375" cy="1587398"/>
            <wp:effectExtent l="0" t="0" r="9525" b="13335"/>
            <wp:docPr id="14" name="Chart 14">
              <a:extLst xmlns:a="http://schemas.openxmlformats.org/drawingml/2006/main">
                <a:ext uri="{FF2B5EF4-FFF2-40B4-BE49-F238E27FC236}">
                  <a16:creationId xmlns:a16="http://schemas.microsoft.com/office/drawing/2014/main" id="{94BA3B90-A0E9-413F-8D10-E488CADC9B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E621FB2" w14:textId="4C24C38D" w:rsidR="000A57A6" w:rsidRPr="008E6FA8" w:rsidRDefault="002866BA" w:rsidP="001D2178">
      <w:pPr>
        <w:spacing w:before="60" w:after="0"/>
        <w:rPr>
          <w:rFonts w:cstheme="minorHAnsi"/>
          <w:sz w:val="16"/>
          <w:szCs w:val="16"/>
        </w:rPr>
      </w:pPr>
      <w:r w:rsidRPr="008E6FA8">
        <w:rPr>
          <w:rFonts w:cstheme="minorHAnsi"/>
          <w:b/>
          <w:bCs/>
          <w:sz w:val="16"/>
          <w:szCs w:val="16"/>
        </w:rPr>
        <w:t>Source:</w:t>
      </w:r>
      <w:r w:rsidRPr="008E6FA8">
        <w:rPr>
          <w:rFonts w:cstheme="minorHAnsi"/>
          <w:sz w:val="16"/>
          <w:szCs w:val="16"/>
        </w:rPr>
        <w:t xml:space="preserve"> Centers for Disease Control and Prevention (CDC). </w:t>
      </w:r>
      <w:r w:rsidRPr="008E6FA8">
        <w:rPr>
          <w:rFonts w:cstheme="minorHAnsi"/>
          <w:i/>
          <w:iCs/>
          <w:sz w:val="16"/>
          <w:szCs w:val="16"/>
        </w:rPr>
        <w:t>Behavioral Risk Factor Surveillance System Survey Data.</w:t>
      </w:r>
      <w:r w:rsidRPr="008E6FA8">
        <w:rPr>
          <w:rFonts w:cstheme="minorHAnsi"/>
          <w:sz w:val="16"/>
          <w:szCs w:val="16"/>
        </w:rPr>
        <w:t xml:space="preserve"> Atlanta, Georgia: U.S. Department of Health and Human Services, Centers for Dise</w:t>
      </w:r>
      <w:r w:rsidR="00F0598A" w:rsidRPr="008E6FA8">
        <w:rPr>
          <w:rFonts w:cstheme="minorHAnsi"/>
          <w:sz w:val="16"/>
          <w:szCs w:val="16"/>
        </w:rPr>
        <w:t>ase Control and Prevention, 201</w:t>
      </w:r>
      <w:r w:rsidR="003065EB" w:rsidRPr="008E6FA8">
        <w:rPr>
          <w:rFonts w:cstheme="minorHAnsi"/>
          <w:sz w:val="16"/>
          <w:szCs w:val="16"/>
        </w:rPr>
        <w:t>8</w:t>
      </w:r>
    </w:p>
    <w:bookmarkEnd w:id="7"/>
    <w:bookmarkEnd w:id="9"/>
    <w:p w14:paraId="383A417D" w14:textId="77777777" w:rsidR="00B60774" w:rsidRPr="00C31A29" w:rsidRDefault="00B60774" w:rsidP="00024B80">
      <w:pPr>
        <w:spacing w:after="0" w:line="240" w:lineRule="auto"/>
        <w:jc w:val="both"/>
        <w:rPr>
          <w:rFonts w:cstheme="minorHAnsi"/>
          <w:sz w:val="24"/>
          <w:szCs w:val="24"/>
        </w:rPr>
      </w:pPr>
    </w:p>
    <w:p w14:paraId="65CA63BD" w14:textId="6FCBD5F4" w:rsidR="00893E83" w:rsidRDefault="00893E83" w:rsidP="00801711">
      <w:pPr>
        <w:spacing w:after="0"/>
        <w:jc w:val="both"/>
        <w:rPr>
          <w:rFonts w:cstheme="minorHAnsi"/>
          <w:sz w:val="24"/>
          <w:szCs w:val="24"/>
        </w:rPr>
      </w:pPr>
      <w:r>
        <w:rPr>
          <w:rFonts w:cstheme="minorHAnsi"/>
          <w:sz w:val="24"/>
          <w:szCs w:val="24"/>
        </w:rPr>
        <w:t>Figure two indicates</w:t>
      </w:r>
      <w:r w:rsidR="000B7F58" w:rsidRPr="00C31A29">
        <w:rPr>
          <w:rFonts w:cstheme="minorHAnsi"/>
          <w:sz w:val="24"/>
          <w:szCs w:val="24"/>
        </w:rPr>
        <w:t xml:space="preserve"> </w:t>
      </w:r>
      <w:r>
        <w:rPr>
          <w:rFonts w:cstheme="minorHAnsi"/>
          <w:sz w:val="24"/>
          <w:szCs w:val="24"/>
        </w:rPr>
        <w:t>t</w:t>
      </w:r>
      <w:r w:rsidRPr="00E24E20">
        <w:rPr>
          <w:rFonts w:cstheme="minorHAnsi"/>
          <w:sz w:val="24"/>
          <w:szCs w:val="24"/>
        </w:rPr>
        <w:t xml:space="preserve">he prevalence of </w:t>
      </w:r>
      <w:r>
        <w:rPr>
          <w:rFonts w:cstheme="minorHAnsi"/>
          <w:sz w:val="24"/>
          <w:szCs w:val="24"/>
        </w:rPr>
        <w:t>stroke</w:t>
      </w:r>
      <w:r w:rsidRPr="00E24E20">
        <w:rPr>
          <w:rFonts w:cstheme="minorHAnsi"/>
          <w:sz w:val="24"/>
          <w:szCs w:val="24"/>
        </w:rPr>
        <w:t xml:space="preserve"> in the age group 65+ years of age is 7.8 percent compared to 2.1 percent for the age group 18</w:t>
      </w:r>
      <w:r>
        <w:rPr>
          <w:rFonts w:cstheme="minorHAnsi"/>
          <w:sz w:val="24"/>
          <w:szCs w:val="24"/>
        </w:rPr>
        <w:t xml:space="preserve"> </w:t>
      </w:r>
      <w:r w:rsidRPr="00E24E20">
        <w:rPr>
          <w:rFonts w:cstheme="minorHAnsi"/>
          <w:sz w:val="24"/>
          <w:szCs w:val="24"/>
        </w:rPr>
        <w:t>-</w:t>
      </w:r>
      <w:r>
        <w:rPr>
          <w:rFonts w:cstheme="minorHAnsi"/>
          <w:sz w:val="24"/>
          <w:szCs w:val="24"/>
        </w:rPr>
        <w:t xml:space="preserve"> </w:t>
      </w:r>
      <w:r w:rsidRPr="00E24E20">
        <w:rPr>
          <w:rFonts w:cstheme="minorHAnsi"/>
          <w:sz w:val="24"/>
          <w:szCs w:val="24"/>
        </w:rPr>
        <w:t>64 years of age</w:t>
      </w:r>
      <w:r>
        <w:rPr>
          <w:rFonts w:cstheme="minorHAnsi"/>
          <w:sz w:val="24"/>
          <w:szCs w:val="24"/>
        </w:rPr>
        <w:t>. The prevalence of</w:t>
      </w:r>
      <w:r w:rsidRPr="00E24E20">
        <w:rPr>
          <w:rFonts w:cstheme="minorHAnsi"/>
          <w:sz w:val="24"/>
          <w:szCs w:val="24"/>
        </w:rPr>
        <w:t xml:space="preserve"> </w:t>
      </w:r>
      <w:r>
        <w:rPr>
          <w:rFonts w:cstheme="minorHAnsi"/>
          <w:sz w:val="24"/>
          <w:szCs w:val="24"/>
        </w:rPr>
        <w:t>heart disease</w:t>
      </w:r>
      <w:r w:rsidRPr="00E24E20">
        <w:rPr>
          <w:rFonts w:cstheme="minorHAnsi"/>
          <w:sz w:val="24"/>
          <w:szCs w:val="24"/>
        </w:rPr>
        <w:t xml:space="preserve"> in the age group 65+ years of age is 10.4 percent compared to 2.4 percent for the age group 18</w:t>
      </w:r>
      <w:r>
        <w:rPr>
          <w:rFonts w:cstheme="minorHAnsi"/>
          <w:sz w:val="24"/>
          <w:szCs w:val="24"/>
        </w:rPr>
        <w:t xml:space="preserve"> </w:t>
      </w:r>
      <w:r w:rsidRPr="00E24E20">
        <w:rPr>
          <w:rFonts w:cstheme="minorHAnsi"/>
          <w:sz w:val="24"/>
          <w:szCs w:val="24"/>
        </w:rPr>
        <w:t>-</w:t>
      </w:r>
      <w:r>
        <w:rPr>
          <w:rFonts w:cstheme="minorHAnsi"/>
          <w:sz w:val="24"/>
          <w:szCs w:val="24"/>
        </w:rPr>
        <w:t xml:space="preserve"> </w:t>
      </w:r>
      <w:r w:rsidRPr="00E24E20">
        <w:rPr>
          <w:rFonts w:cstheme="minorHAnsi"/>
          <w:sz w:val="24"/>
          <w:szCs w:val="24"/>
        </w:rPr>
        <w:t xml:space="preserve">64 years of age. </w:t>
      </w:r>
    </w:p>
    <w:p w14:paraId="79DBD5F7" w14:textId="01AC6D54" w:rsidR="00B34636" w:rsidRDefault="00B34636" w:rsidP="00801711">
      <w:pPr>
        <w:spacing w:after="0"/>
        <w:jc w:val="both"/>
        <w:rPr>
          <w:rFonts w:cstheme="minorHAnsi"/>
          <w:sz w:val="24"/>
          <w:szCs w:val="24"/>
        </w:rPr>
      </w:pPr>
    </w:p>
    <w:p w14:paraId="4EEAE816" w14:textId="24D67328" w:rsidR="00B34636" w:rsidRDefault="00B34636" w:rsidP="00801711">
      <w:pPr>
        <w:spacing w:after="0"/>
        <w:jc w:val="both"/>
        <w:rPr>
          <w:rFonts w:cstheme="minorHAnsi"/>
          <w:sz w:val="24"/>
          <w:szCs w:val="24"/>
        </w:rPr>
      </w:pPr>
    </w:p>
    <w:p w14:paraId="520C83DF" w14:textId="452BE0A5" w:rsidR="00B34636" w:rsidRDefault="00B34636" w:rsidP="00801711">
      <w:pPr>
        <w:spacing w:after="0"/>
        <w:jc w:val="both"/>
        <w:rPr>
          <w:rFonts w:cstheme="minorHAnsi"/>
          <w:sz w:val="24"/>
          <w:szCs w:val="24"/>
        </w:rPr>
      </w:pPr>
    </w:p>
    <w:p w14:paraId="3F560397" w14:textId="77777777" w:rsidR="00B34636" w:rsidRDefault="00B34636" w:rsidP="00801711">
      <w:pPr>
        <w:spacing w:after="0"/>
        <w:jc w:val="both"/>
        <w:rPr>
          <w:rFonts w:cstheme="minorHAnsi"/>
          <w:sz w:val="24"/>
          <w:szCs w:val="24"/>
        </w:rPr>
      </w:pPr>
    </w:p>
    <w:p w14:paraId="79B06B2B" w14:textId="77777777" w:rsidR="00801711" w:rsidRPr="001B3C83" w:rsidRDefault="00801711" w:rsidP="00893E83">
      <w:pPr>
        <w:spacing w:after="0"/>
        <w:jc w:val="both"/>
        <w:rPr>
          <w:rFonts w:cstheme="minorHAnsi"/>
          <w:sz w:val="24"/>
          <w:szCs w:val="24"/>
        </w:rPr>
      </w:pPr>
    </w:p>
    <w:p w14:paraId="189F05F8" w14:textId="338CE3D6" w:rsidR="00B34636" w:rsidRPr="00B34636" w:rsidRDefault="00A76792" w:rsidP="00C22EB3">
      <w:pPr>
        <w:jc w:val="both"/>
        <w:rPr>
          <w:rFonts w:cstheme="minorHAnsi"/>
          <w:b/>
          <w:bCs/>
          <w:sz w:val="24"/>
          <w:szCs w:val="24"/>
        </w:rPr>
      </w:pPr>
      <w:r w:rsidRPr="00EB70C1">
        <w:rPr>
          <w:rFonts w:cstheme="minorHAnsi"/>
          <w:b/>
          <w:bCs/>
          <w:sz w:val="24"/>
          <w:szCs w:val="24"/>
        </w:rPr>
        <w:t>Figure 2.  Prevalence of Chronic Diseases by Age Group, Nevada, 2018</w:t>
      </w:r>
    </w:p>
    <w:p w14:paraId="068C03E5" w14:textId="1F9655EC" w:rsidR="002866BA" w:rsidRPr="00EB70C1" w:rsidRDefault="0048508D" w:rsidP="001D2178">
      <w:pPr>
        <w:spacing w:after="0"/>
        <w:rPr>
          <w:rFonts w:cstheme="minorHAnsi"/>
        </w:rPr>
      </w:pPr>
      <w:r w:rsidRPr="00272F5A">
        <w:rPr>
          <w:rFonts w:cstheme="minorHAnsi"/>
          <w:noProof/>
        </w:rPr>
        <w:drawing>
          <wp:inline distT="0" distB="0" distL="0" distR="0" wp14:anchorId="4E7BC62F" wp14:editId="365E4BD0">
            <wp:extent cx="6829425" cy="1554480"/>
            <wp:effectExtent l="0" t="0" r="9525" b="7620"/>
            <wp:docPr id="37" name="Chart 37">
              <a:extLst xmlns:a="http://schemas.openxmlformats.org/drawingml/2006/main">
                <a:ext uri="{FF2B5EF4-FFF2-40B4-BE49-F238E27FC236}">
                  <a16:creationId xmlns:a16="http://schemas.microsoft.com/office/drawing/2014/main" id="{FC08230E-7D98-4691-9210-0AA7D1A492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E728443" w14:textId="656AFD99" w:rsidR="003D44A8" w:rsidRPr="008E6FA8" w:rsidRDefault="00C26CA4" w:rsidP="001D2178">
      <w:pPr>
        <w:spacing w:before="60" w:after="0"/>
        <w:rPr>
          <w:rFonts w:cstheme="minorHAnsi"/>
          <w:sz w:val="16"/>
          <w:szCs w:val="16"/>
        </w:rPr>
      </w:pPr>
      <w:r w:rsidRPr="008E6FA8">
        <w:rPr>
          <w:rFonts w:cstheme="minorHAnsi"/>
          <w:b/>
          <w:bCs/>
          <w:sz w:val="16"/>
          <w:szCs w:val="16"/>
        </w:rPr>
        <w:t xml:space="preserve">Source: </w:t>
      </w:r>
      <w:r w:rsidRPr="008E6FA8">
        <w:rPr>
          <w:rFonts w:cstheme="minorHAnsi"/>
          <w:sz w:val="16"/>
          <w:szCs w:val="16"/>
        </w:rPr>
        <w:t xml:space="preserve">Centers for Disease Control and Prevention (CDC). </w:t>
      </w:r>
      <w:r w:rsidRPr="008E6FA8">
        <w:rPr>
          <w:rFonts w:cstheme="minorHAnsi"/>
          <w:i/>
          <w:iCs/>
          <w:sz w:val="16"/>
          <w:szCs w:val="16"/>
        </w:rPr>
        <w:t>Behavioral Risk Factor Surveillance System Survey Data.</w:t>
      </w:r>
      <w:r w:rsidRPr="008E6FA8">
        <w:rPr>
          <w:rFonts w:cstheme="minorHAnsi"/>
          <w:sz w:val="16"/>
          <w:szCs w:val="16"/>
        </w:rPr>
        <w:t xml:space="preserve"> Atlanta, Georgia: U.S. Department of Health and Human Services, Centers for Dise</w:t>
      </w:r>
      <w:r w:rsidR="009C6615" w:rsidRPr="008E6FA8">
        <w:rPr>
          <w:rFonts w:cstheme="minorHAnsi"/>
          <w:sz w:val="16"/>
          <w:szCs w:val="16"/>
        </w:rPr>
        <w:t>ase Control and Prevention, 201</w:t>
      </w:r>
      <w:r w:rsidR="005A3FE4" w:rsidRPr="00EB70C1">
        <w:rPr>
          <w:rFonts w:cstheme="minorHAnsi"/>
          <w:sz w:val="16"/>
          <w:szCs w:val="16"/>
        </w:rPr>
        <w:t>8</w:t>
      </w:r>
      <w:r w:rsidRPr="008E6FA8">
        <w:rPr>
          <w:rFonts w:cstheme="minorHAnsi"/>
          <w:sz w:val="16"/>
          <w:szCs w:val="16"/>
        </w:rPr>
        <w:t>.</w:t>
      </w:r>
    </w:p>
    <w:p w14:paraId="36976597" w14:textId="77777777" w:rsidR="00DC47ED" w:rsidRPr="00C31A29" w:rsidRDefault="00DC47ED" w:rsidP="00024B80">
      <w:pPr>
        <w:spacing w:after="0" w:line="240" w:lineRule="auto"/>
        <w:jc w:val="both"/>
        <w:rPr>
          <w:rFonts w:cstheme="minorHAnsi"/>
          <w:sz w:val="24"/>
          <w:szCs w:val="24"/>
          <w:highlight w:val="yellow"/>
        </w:rPr>
      </w:pPr>
    </w:p>
    <w:p w14:paraId="664FE8FF" w14:textId="510D1A74" w:rsidR="00893E83" w:rsidRDefault="00893E83" w:rsidP="00801711">
      <w:pPr>
        <w:spacing w:after="0"/>
        <w:jc w:val="both"/>
        <w:rPr>
          <w:rFonts w:cstheme="minorHAnsi"/>
          <w:sz w:val="24"/>
          <w:szCs w:val="24"/>
        </w:rPr>
      </w:pPr>
      <w:r w:rsidRPr="00893E83">
        <w:rPr>
          <w:rFonts w:cstheme="minorHAnsi"/>
          <w:sz w:val="24"/>
          <w:szCs w:val="24"/>
        </w:rPr>
        <w:t xml:space="preserve">Figure Three represents the prevalence of stroke in Nevada compared to the U.S. In 2018, the U.S. had a higher prevalence of stroke while in 2017 the prevalence of stroke was similar. </w:t>
      </w:r>
    </w:p>
    <w:p w14:paraId="7EBCB0F9" w14:textId="77777777" w:rsidR="00C22EB3" w:rsidRPr="00893E83" w:rsidRDefault="00C22EB3" w:rsidP="00801711">
      <w:pPr>
        <w:spacing w:after="0"/>
        <w:jc w:val="both"/>
        <w:rPr>
          <w:rFonts w:cstheme="minorHAnsi"/>
          <w:sz w:val="24"/>
          <w:szCs w:val="24"/>
        </w:rPr>
      </w:pPr>
    </w:p>
    <w:p w14:paraId="30612961" w14:textId="67E608F4" w:rsidR="0026437F" w:rsidRPr="003F0131" w:rsidRDefault="0026437F" w:rsidP="00C22EB3">
      <w:pPr>
        <w:spacing w:after="60"/>
        <w:jc w:val="both"/>
        <w:rPr>
          <w:rFonts w:cstheme="minorHAnsi"/>
          <w:sz w:val="24"/>
        </w:rPr>
      </w:pPr>
      <w:r w:rsidRPr="00EB70C1">
        <w:rPr>
          <w:rFonts w:cstheme="minorHAnsi"/>
          <w:b/>
          <w:bCs/>
          <w:sz w:val="24"/>
        </w:rPr>
        <w:t xml:space="preserve">Figure 3.  </w:t>
      </w:r>
      <w:r w:rsidR="00950A66" w:rsidRPr="00EB70C1">
        <w:rPr>
          <w:rFonts w:cstheme="minorHAnsi"/>
          <w:b/>
          <w:bCs/>
          <w:sz w:val="24"/>
        </w:rPr>
        <w:t xml:space="preserve">Prevalence of Stroke in </w:t>
      </w:r>
      <w:r w:rsidRPr="00EB70C1">
        <w:rPr>
          <w:rFonts w:cstheme="minorHAnsi"/>
          <w:b/>
          <w:bCs/>
          <w:sz w:val="24"/>
        </w:rPr>
        <w:t xml:space="preserve">Adults, </w:t>
      </w:r>
      <w:r w:rsidR="00B56CCC" w:rsidRPr="00EB70C1">
        <w:rPr>
          <w:rFonts w:cstheme="minorHAnsi"/>
          <w:b/>
          <w:bCs/>
          <w:sz w:val="24"/>
        </w:rPr>
        <w:t>Nevada vs. U.S.</w:t>
      </w:r>
      <w:r w:rsidR="00B56CCC">
        <w:rPr>
          <w:rFonts w:cstheme="minorHAnsi"/>
          <w:b/>
          <w:bCs/>
          <w:sz w:val="24"/>
        </w:rPr>
        <w:t xml:space="preserve">, </w:t>
      </w:r>
      <w:r w:rsidR="00EC3CF7">
        <w:rPr>
          <w:rFonts w:cstheme="minorHAnsi"/>
          <w:b/>
          <w:bCs/>
          <w:sz w:val="24"/>
        </w:rPr>
        <w:t xml:space="preserve">2006 – 2018 </w:t>
      </w:r>
      <w:r w:rsidR="002C2950" w:rsidRPr="00EB70C1">
        <w:rPr>
          <w:rFonts w:cstheme="minorHAnsi"/>
          <w:b/>
          <w:bCs/>
          <w:sz w:val="24"/>
        </w:rPr>
        <w:t>BRFSS Data</w:t>
      </w:r>
      <w:r w:rsidRPr="00EB70C1">
        <w:rPr>
          <w:rFonts w:cstheme="minorHAnsi"/>
          <w:b/>
          <w:bCs/>
          <w:sz w:val="24"/>
        </w:rPr>
        <w:t xml:space="preserve"> </w:t>
      </w:r>
    </w:p>
    <w:p w14:paraId="39374D52" w14:textId="6D09CC09" w:rsidR="00A76792" w:rsidRPr="00EB70C1" w:rsidRDefault="00CF1A0D" w:rsidP="001D2178">
      <w:pPr>
        <w:spacing w:after="0"/>
        <w:rPr>
          <w:rFonts w:cstheme="minorHAnsi"/>
          <w:szCs w:val="18"/>
        </w:rPr>
      </w:pPr>
      <w:r w:rsidRPr="00272F5A">
        <w:rPr>
          <w:rFonts w:cstheme="minorHAnsi"/>
          <w:noProof/>
        </w:rPr>
        <w:drawing>
          <wp:inline distT="0" distB="0" distL="0" distR="0" wp14:anchorId="329C95CA" wp14:editId="3CFB2395">
            <wp:extent cx="6829425" cy="1543507"/>
            <wp:effectExtent l="0" t="0" r="9525" b="0"/>
            <wp:docPr id="25" name="Chart 25">
              <a:extLst xmlns:a="http://schemas.openxmlformats.org/drawingml/2006/main">
                <a:ext uri="{FF2B5EF4-FFF2-40B4-BE49-F238E27FC236}">
                  <a16:creationId xmlns:a16="http://schemas.microsoft.com/office/drawing/2014/main" id="{9D7A5C18-D646-4C50-88EB-638BADE2EF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3FBDFA2" w14:textId="6C36C26E" w:rsidR="0026437F" w:rsidRPr="001D020A" w:rsidRDefault="005A3FE4" w:rsidP="001D2178">
      <w:pPr>
        <w:tabs>
          <w:tab w:val="left" w:pos="9900"/>
        </w:tabs>
        <w:spacing w:before="60" w:after="0"/>
        <w:rPr>
          <w:rFonts w:cstheme="minorHAnsi"/>
          <w:sz w:val="16"/>
          <w:szCs w:val="16"/>
        </w:rPr>
      </w:pPr>
      <w:r w:rsidRPr="001D020A">
        <w:rPr>
          <w:rFonts w:cstheme="minorHAnsi"/>
          <w:b/>
          <w:bCs/>
          <w:sz w:val="16"/>
          <w:szCs w:val="16"/>
        </w:rPr>
        <w:t xml:space="preserve">Source: </w:t>
      </w:r>
      <w:r w:rsidRPr="001D020A">
        <w:rPr>
          <w:rFonts w:cstheme="minorHAnsi"/>
          <w:sz w:val="16"/>
          <w:szCs w:val="16"/>
        </w:rPr>
        <w:t xml:space="preserve">Centers for Disease Control and Prevention (CDC). </w:t>
      </w:r>
      <w:r w:rsidRPr="001D020A">
        <w:rPr>
          <w:rFonts w:cstheme="minorHAnsi"/>
          <w:i/>
          <w:iCs/>
          <w:sz w:val="16"/>
          <w:szCs w:val="16"/>
        </w:rPr>
        <w:t>Behavioral Risk Factor Surveillance System Survey Data.</w:t>
      </w:r>
      <w:r w:rsidRPr="001D020A">
        <w:rPr>
          <w:rFonts w:cstheme="minorHAnsi"/>
          <w:sz w:val="16"/>
          <w:szCs w:val="16"/>
        </w:rPr>
        <w:t xml:space="preserve"> Atlanta, Georgia: U.S. Department of Health and Human Services, Centers for Disease Control and Prevention, 2018.</w:t>
      </w:r>
    </w:p>
    <w:p w14:paraId="0B39F937" w14:textId="77777777" w:rsidR="000A57A6" w:rsidRPr="00801711" w:rsidRDefault="000A57A6" w:rsidP="00024B80">
      <w:pPr>
        <w:spacing w:after="0" w:line="240" w:lineRule="auto"/>
        <w:jc w:val="both"/>
        <w:rPr>
          <w:rFonts w:cstheme="minorHAnsi"/>
          <w:sz w:val="24"/>
          <w:szCs w:val="24"/>
        </w:rPr>
      </w:pPr>
    </w:p>
    <w:p w14:paraId="5E27D7B2" w14:textId="51B6C9AA" w:rsidR="00893E83" w:rsidRDefault="00893E83" w:rsidP="00801711">
      <w:pPr>
        <w:spacing w:after="0"/>
        <w:jc w:val="both"/>
        <w:rPr>
          <w:rFonts w:cstheme="minorHAnsi"/>
          <w:sz w:val="24"/>
          <w:szCs w:val="24"/>
        </w:rPr>
      </w:pPr>
      <w:r w:rsidRPr="00801711">
        <w:rPr>
          <w:rFonts w:cstheme="minorHAnsi"/>
          <w:sz w:val="24"/>
          <w:szCs w:val="24"/>
        </w:rPr>
        <w:t>Figure Four represents, the prevalence of stroke by race/ethnicity. The Other Race population had the highest prevalence at 9.6 percent</w:t>
      </w:r>
      <w:r w:rsidRPr="00893E83">
        <w:rPr>
          <w:rFonts w:cstheme="minorHAnsi"/>
          <w:sz w:val="24"/>
          <w:szCs w:val="24"/>
        </w:rPr>
        <w:t xml:space="preserve"> while the African American population has the second highest prevalence at 5.1 percent. </w:t>
      </w:r>
    </w:p>
    <w:p w14:paraId="6C636D0D" w14:textId="77777777" w:rsidR="00C22EB3" w:rsidRPr="00893E83" w:rsidRDefault="00C22EB3" w:rsidP="00801711">
      <w:pPr>
        <w:spacing w:after="0"/>
        <w:jc w:val="both"/>
        <w:rPr>
          <w:rFonts w:cstheme="minorHAnsi"/>
          <w:sz w:val="24"/>
          <w:szCs w:val="24"/>
        </w:rPr>
      </w:pPr>
    </w:p>
    <w:p w14:paraId="6FF071BD" w14:textId="2E3067A2" w:rsidR="00D67C6E" w:rsidRPr="00EB70C1" w:rsidRDefault="00083931" w:rsidP="00C22EB3">
      <w:pPr>
        <w:rPr>
          <w:rFonts w:cstheme="minorHAnsi"/>
          <w:b/>
          <w:bCs/>
          <w:sz w:val="24"/>
        </w:rPr>
      </w:pPr>
      <w:r w:rsidRPr="007C6D8D">
        <w:rPr>
          <w:rFonts w:cstheme="minorHAnsi"/>
          <w:b/>
          <w:bCs/>
          <w:sz w:val="24"/>
        </w:rPr>
        <w:t xml:space="preserve">Figure 4. </w:t>
      </w:r>
      <w:r w:rsidR="00975E32" w:rsidRPr="007C6D8D">
        <w:rPr>
          <w:rFonts w:cstheme="minorHAnsi"/>
          <w:b/>
          <w:bCs/>
          <w:sz w:val="24"/>
        </w:rPr>
        <w:t xml:space="preserve">Prevalence of Stroke in </w:t>
      </w:r>
      <w:r w:rsidRPr="007C6D8D">
        <w:rPr>
          <w:rFonts w:cstheme="minorHAnsi"/>
          <w:b/>
          <w:bCs/>
          <w:sz w:val="24"/>
        </w:rPr>
        <w:t xml:space="preserve">Adults by </w:t>
      </w:r>
      <w:r w:rsidR="00975E32" w:rsidRPr="007C6D8D">
        <w:rPr>
          <w:rFonts w:cstheme="minorHAnsi"/>
          <w:b/>
          <w:bCs/>
          <w:sz w:val="24"/>
        </w:rPr>
        <w:t>R</w:t>
      </w:r>
      <w:r w:rsidRPr="007C6D8D">
        <w:rPr>
          <w:rFonts w:cstheme="minorHAnsi"/>
          <w:b/>
          <w:bCs/>
          <w:sz w:val="24"/>
        </w:rPr>
        <w:t>ace/</w:t>
      </w:r>
      <w:r w:rsidR="00975E32" w:rsidRPr="007C6D8D">
        <w:rPr>
          <w:rFonts w:cstheme="minorHAnsi"/>
          <w:b/>
          <w:bCs/>
          <w:sz w:val="24"/>
        </w:rPr>
        <w:t>E</w:t>
      </w:r>
      <w:r w:rsidRPr="007C6D8D">
        <w:rPr>
          <w:rFonts w:cstheme="minorHAnsi"/>
          <w:b/>
          <w:bCs/>
          <w:sz w:val="24"/>
        </w:rPr>
        <w:t xml:space="preserve">thnicity, </w:t>
      </w:r>
      <w:r w:rsidR="00924218" w:rsidRPr="007C6D8D">
        <w:rPr>
          <w:rFonts w:cstheme="minorHAnsi"/>
          <w:b/>
          <w:bCs/>
          <w:sz w:val="24"/>
        </w:rPr>
        <w:t xml:space="preserve">2018 Nevada </w:t>
      </w:r>
      <w:r w:rsidR="00975E32" w:rsidRPr="007C6D8D">
        <w:rPr>
          <w:rFonts w:cstheme="minorHAnsi"/>
          <w:b/>
          <w:bCs/>
          <w:sz w:val="24"/>
        </w:rPr>
        <w:t>BRFSS Data</w:t>
      </w:r>
    </w:p>
    <w:p w14:paraId="71BEE656" w14:textId="41C3DEE8" w:rsidR="00975E32" w:rsidRPr="00EB70C1" w:rsidRDefault="00975E32" w:rsidP="001D2178">
      <w:pPr>
        <w:spacing w:after="0"/>
        <w:rPr>
          <w:rFonts w:cstheme="minorHAnsi"/>
          <w:sz w:val="24"/>
        </w:rPr>
      </w:pPr>
      <w:r w:rsidRPr="00272F5A">
        <w:rPr>
          <w:rFonts w:cstheme="minorHAnsi"/>
          <w:noProof/>
        </w:rPr>
        <w:drawing>
          <wp:inline distT="0" distB="0" distL="0" distR="0" wp14:anchorId="124B416D" wp14:editId="6153A635">
            <wp:extent cx="6772275" cy="1554480"/>
            <wp:effectExtent l="0" t="0" r="9525" b="7620"/>
            <wp:docPr id="22" name="Chart 22">
              <a:extLst xmlns:a="http://schemas.openxmlformats.org/drawingml/2006/main">
                <a:ext uri="{FF2B5EF4-FFF2-40B4-BE49-F238E27FC236}">
                  <a16:creationId xmlns:a16="http://schemas.microsoft.com/office/drawing/2014/main" id="{02375EA4-A49B-4CFF-81A0-42F2E1414D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1407DE2" w14:textId="77777777" w:rsidR="00811D88" w:rsidRPr="00024B80" w:rsidRDefault="00811D88" w:rsidP="00C22EB3">
      <w:pPr>
        <w:tabs>
          <w:tab w:val="left" w:pos="9450"/>
        </w:tabs>
        <w:spacing w:before="60" w:after="0" w:line="240" w:lineRule="auto"/>
        <w:ind w:right="1116"/>
        <w:rPr>
          <w:rFonts w:cstheme="minorHAnsi"/>
          <w:sz w:val="16"/>
          <w:szCs w:val="16"/>
        </w:rPr>
      </w:pPr>
      <w:r w:rsidRPr="00024B80">
        <w:rPr>
          <w:rFonts w:cstheme="minorHAnsi"/>
          <w:b/>
          <w:bCs/>
          <w:sz w:val="16"/>
          <w:szCs w:val="16"/>
        </w:rPr>
        <w:t>ANHPI</w:t>
      </w:r>
      <w:r w:rsidRPr="00024B80">
        <w:rPr>
          <w:rFonts w:cstheme="minorHAnsi"/>
          <w:sz w:val="16"/>
          <w:szCs w:val="16"/>
        </w:rPr>
        <w:t>: Asian or Native Hawaiian/Pacific Islander</w:t>
      </w:r>
    </w:p>
    <w:p w14:paraId="2229F57C" w14:textId="6F2B9AFD" w:rsidR="00811D88" w:rsidRPr="00024B80" w:rsidRDefault="00811D88" w:rsidP="00C22EB3">
      <w:pPr>
        <w:spacing w:after="0" w:line="240" w:lineRule="auto"/>
        <w:ind w:right="1116"/>
        <w:rPr>
          <w:rFonts w:cstheme="minorHAnsi"/>
          <w:sz w:val="16"/>
          <w:szCs w:val="16"/>
        </w:rPr>
      </w:pPr>
      <w:r w:rsidRPr="00024B80">
        <w:rPr>
          <w:rFonts w:cstheme="minorHAnsi"/>
          <w:b/>
          <w:bCs/>
          <w:sz w:val="16"/>
          <w:szCs w:val="16"/>
        </w:rPr>
        <w:t>AI/AN:</w:t>
      </w:r>
      <w:r w:rsidRPr="00024B80">
        <w:rPr>
          <w:rFonts w:cstheme="minorHAnsi"/>
          <w:sz w:val="16"/>
          <w:szCs w:val="16"/>
        </w:rPr>
        <w:t xml:space="preserve"> American Indian/Alaska Native</w:t>
      </w:r>
    </w:p>
    <w:p w14:paraId="6945ECC8" w14:textId="77777777" w:rsidR="007A5251" w:rsidRPr="00024B80" w:rsidRDefault="007A5251" w:rsidP="00C22EB3">
      <w:pPr>
        <w:spacing w:before="60" w:after="0" w:line="240" w:lineRule="auto"/>
        <w:rPr>
          <w:rFonts w:cstheme="minorHAnsi"/>
          <w:sz w:val="16"/>
          <w:szCs w:val="16"/>
        </w:rPr>
      </w:pPr>
      <w:r w:rsidRPr="00024B80">
        <w:rPr>
          <w:rFonts w:cstheme="minorHAnsi"/>
          <w:b/>
          <w:bCs/>
          <w:sz w:val="16"/>
          <w:szCs w:val="16"/>
        </w:rPr>
        <w:t>Source:</w:t>
      </w:r>
      <w:r w:rsidRPr="00024B80">
        <w:rPr>
          <w:rFonts w:cstheme="minorHAnsi"/>
          <w:sz w:val="16"/>
          <w:szCs w:val="16"/>
        </w:rPr>
        <w:t xml:space="preserve"> Centers for Disease Control and Prevention (CDC). </w:t>
      </w:r>
      <w:r w:rsidRPr="00024B80">
        <w:rPr>
          <w:rFonts w:cstheme="minorHAnsi"/>
          <w:i/>
          <w:iCs/>
          <w:sz w:val="16"/>
          <w:szCs w:val="16"/>
        </w:rPr>
        <w:t>Behavioral Risk Factor Surveillance System Survey Data.</w:t>
      </w:r>
      <w:r w:rsidRPr="00024B80">
        <w:rPr>
          <w:rFonts w:cstheme="minorHAnsi"/>
          <w:sz w:val="16"/>
          <w:szCs w:val="16"/>
        </w:rPr>
        <w:t xml:space="preserve"> Atlanta, Georgia: U.S. Department of Health and Human Services, Centers for Disease Control and Prevention, 2012-2018.</w:t>
      </w:r>
    </w:p>
    <w:p w14:paraId="76E5CF12" w14:textId="77777777" w:rsidR="007A5251" w:rsidRPr="00801711" w:rsidRDefault="007A5251" w:rsidP="00024B80">
      <w:pPr>
        <w:spacing w:after="0" w:line="240" w:lineRule="auto"/>
        <w:ind w:left="1440" w:right="1116"/>
        <w:rPr>
          <w:rFonts w:cstheme="minorHAnsi"/>
          <w:sz w:val="24"/>
          <w:szCs w:val="24"/>
        </w:rPr>
      </w:pPr>
    </w:p>
    <w:p w14:paraId="2AB4A933" w14:textId="659C015A" w:rsidR="00B34636" w:rsidRDefault="00893E83" w:rsidP="00801711">
      <w:pPr>
        <w:spacing w:after="0"/>
        <w:rPr>
          <w:rFonts w:cstheme="minorHAnsi"/>
          <w:sz w:val="24"/>
        </w:rPr>
      </w:pPr>
      <w:r w:rsidRPr="00801711">
        <w:rPr>
          <w:rFonts w:cstheme="minorHAnsi"/>
          <w:sz w:val="24"/>
          <w:szCs w:val="24"/>
        </w:rPr>
        <w:lastRenderedPageBreak/>
        <w:t>Figure Five represents the</w:t>
      </w:r>
      <w:r>
        <w:rPr>
          <w:rFonts w:cstheme="minorHAnsi"/>
          <w:sz w:val="24"/>
        </w:rPr>
        <w:t xml:space="preserve"> mortality rate of chronic diseases. Stroke mortality </w:t>
      </w:r>
      <w:r w:rsidRPr="00DC562D">
        <w:rPr>
          <w:rFonts w:cstheme="minorHAnsi"/>
          <w:sz w:val="24"/>
        </w:rPr>
        <w:t>increased from 2013 to 2015 and remained stable from 2016 to 201</w:t>
      </w:r>
      <w:r>
        <w:rPr>
          <w:rFonts w:cstheme="minorHAnsi"/>
          <w:sz w:val="24"/>
        </w:rPr>
        <w:t xml:space="preserve">8 while heart disease consistently remained the highest mortality rate of all the chronic diseases. </w:t>
      </w:r>
    </w:p>
    <w:p w14:paraId="2CECD029" w14:textId="77777777" w:rsidR="00C22EB3" w:rsidRPr="00DC562D" w:rsidRDefault="00C22EB3" w:rsidP="00801711">
      <w:pPr>
        <w:spacing w:after="0"/>
        <w:rPr>
          <w:rFonts w:cstheme="minorHAnsi"/>
          <w:sz w:val="24"/>
        </w:rPr>
      </w:pPr>
    </w:p>
    <w:p w14:paraId="12593C12" w14:textId="7A72C68C" w:rsidR="00564951" w:rsidRPr="00EB70C1" w:rsidRDefault="009A059B" w:rsidP="00C22EB3">
      <w:pPr>
        <w:rPr>
          <w:rFonts w:cstheme="minorHAnsi"/>
          <w:szCs w:val="18"/>
        </w:rPr>
      </w:pPr>
      <w:r w:rsidRPr="00EB70C1">
        <w:rPr>
          <w:rFonts w:cstheme="minorHAnsi"/>
          <w:b/>
          <w:bCs/>
          <w:sz w:val="24"/>
          <w:szCs w:val="24"/>
        </w:rPr>
        <w:t xml:space="preserve">Figure 5. Chronic Disease Mortality Rate </w:t>
      </w:r>
      <w:r w:rsidR="003B3327">
        <w:rPr>
          <w:rFonts w:cstheme="minorHAnsi"/>
          <w:b/>
          <w:bCs/>
          <w:sz w:val="24"/>
          <w:szCs w:val="24"/>
        </w:rPr>
        <w:t xml:space="preserve">from 2012 - </w:t>
      </w:r>
      <w:r w:rsidR="001D2178">
        <w:rPr>
          <w:rFonts w:cstheme="minorHAnsi"/>
          <w:b/>
          <w:bCs/>
          <w:sz w:val="24"/>
          <w:szCs w:val="24"/>
        </w:rPr>
        <w:t>2018</w:t>
      </w:r>
      <w:r w:rsidR="001D2178" w:rsidRPr="00EB70C1">
        <w:rPr>
          <w:rFonts w:cstheme="minorHAnsi"/>
          <w:b/>
          <w:bCs/>
          <w:sz w:val="24"/>
          <w:szCs w:val="24"/>
        </w:rPr>
        <w:t xml:space="preserve">, </w:t>
      </w:r>
      <w:r w:rsidR="001D2178" w:rsidRPr="007C6D8D">
        <w:rPr>
          <w:rFonts w:cstheme="minorHAnsi"/>
          <w:b/>
          <w:bCs/>
          <w:sz w:val="24"/>
        </w:rPr>
        <w:t>Nevada</w:t>
      </w:r>
      <w:r w:rsidR="007A5251" w:rsidRPr="007C6D8D">
        <w:rPr>
          <w:rFonts w:cstheme="minorHAnsi"/>
          <w:b/>
          <w:bCs/>
          <w:sz w:val="24"/>
        </w:rPr>
        <w:t xml:space="preserve"> BRFSS Data</w:t>
      </w:r>
    </w:p>
    <w:p w14:paraId="7D875CFA" w14:textId="0F9D3CF4" w:rsidR="00CB6563" w:rsidRPr="00EB70C1" w:rsidRDefault="009A059B" w:rsidP="001D2178">
      <w:pPr>
        <w:spacing w:after="0"/>
        <w:rPr>
          <w:rFonts w:cstheme="minorHAnsi"/>
          <w:sz w:val="24"/>
          <w:szCs w:val="24"/>
        </w:rPr>
      </w:pPr>
      <w:r w:rsidRPr="00272F5A">
        <w:rPr>
          <w:rFonts w:cstheme="minorHAnsi"/>
          <w:noProof/>
        </w:rPr>
        <w:drawing>
          <wp:inline distT="0" distB="0" distL="0" distR="0" wp14:anchorId="3D3E51DC" wp14:editId="2718C9E6">
            <wp:extent cx="6810375" cy="1609344"/>
            <wp:effectExtent l="0" t="0" r="9525" b="10160"/>
            <wp:docPr id="5" name="Chart 5">
              <a:extLst xmlns:a="http://schemas.openxmlformats.org/drawingml/2006/main">
                <a:ext uri="{FF2B5EF4-FFF2-40B4-BE49-F238E27FC236}">
                  <a16:creationId xmlns:a16="http://schemas.microsoft.com/office/drawing/2014/main" id="{8CDB746F-6D31-4B83-AEEE-774CBF13C1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51FD736" w14:textId="055E2014" w:rsidR="009A059B" w:rsidRDefault="009A059B" w:rsidP="001D2178">
      <w:pPr>
        <w:spacing w:before="60" w:after="0"/>
        <w:rPr>
          <w:rFonts w:cstheme="minorHAnsi"/>
          <w:sz w:val="16"/>
          <w:szCs w:val="12"/>
        </w:rPr>
      </w:pPr>
      <w:r w:rsidRPr="00EB70C1">
        <w:rPr>
          <w:rFonts w:cstheme="minorHAnsi"/>
          <w:b/>
          <w:bCs/>
          <w:sz w:val="16"/>
          <w:szCs w:val="12"/>
        </w:rPr>
        <w:t>Source:</w:t>
      </w:r>
      <w:r w:rsidRPr="00EB70C1">
        <w:rPr>
          <w:rFonts w:cstheme="minorHAnsi"/>
          <w:sz w:val="16"/>
          <w:szCs w:val="12"/>
        </w:rPr>
        <w:t xml:space="preserve"> Centers for Disease Control and Prevention (CDC). </w:t>
      </w:r>
      <w:r w:rsidRPr="00EB70C1">
        <w:rPr>
          <w:rFonts w:cstheme="minorHAnsi"/>
          <w:i/>
          <w:iCs/>
          <w:sz w:val="16"/>
          <w:szCs w:val="12"/>
        </w:rPr>
        <w:t>Behavioral Risk Factor Surveillance System Survey Data.</w:t>
      </w:r>
      <w:r w:rsidRPr="00EB70C1">
        <w:rPr>
          <w:rFonts w:cstheme="minorHAnsi"/>
          <w:sz w:val="16"/>
          <w:szCs w:val="12"/>
        </w:rPr>
        <w:t xml:space="preserve"> Atlanta, Georgia: U.S. Department of Health and Human Services, Centers for Disease Control and Prevention, 201</w:t>
      </w:r>
      <w:r w:rsidR="00103545">
        <w:rPr>
          <w:rFonts w:cstheme="minorHAnsi"/>
          <w:sz w:val="16"/>
          <w:szCs w:val="12"/>
        </w:rPr>
        <w:t>2</w:t>
      </w:r>
      <w:r w:rsidRPr="00EB70C1">
        <w:rPr>
          <w:rFonts w:cstheme="minorHAnsi"/>
          <w:sz w:val="16"/>
          <w:szCs w:val="12"/>
        </w:rPr>
        <w:t>-2018.</w:t>
      </w:r>
    </w:p>
    <w:p w14:paraId="6282C585" w14:textId="77777777" w:rsidR="001D020A" w:rsidRPr="00801711" w:rsidRDefault="001D020A" w:rsidP="00024B80">
      <w:pPr>
        <w:spacing w:after="0" w:line="240" w:lineRule="auto"/>
        <w:ind w:left="540" w:right="612"/>
        <w:rPr>
          <w:rFonts w:cstheme="minorHAnsi"/>
          <w:sz w:val="24"/>
          <w:szCs w:val="24"/>
        </w:rPr>
      </w:pPr>
    </w:p>
    <w:p w14:paraId="450DF530" w14:textId="13FA6F0B" w:rsidR="00893E83" w:rsidRDefault="00893E83" w:rsidP="00801711">
      <w:pPr>
        <w:spacing w:after="0"/>
        <w:jc w:val="both"/>
        <w:rPr>
          <w:rFonts w:cstheme="minorHAnsi"/>
          <w:sz w:val="24"/>
        </w:rPr>
      </w:pPr>
      <w:r w:rsidRPr="00801711">
        <w:rPr>
          <w:rFonts w:cstheme="minorHAnsi"/>
          <w:sz w:val="24"/>
          <w:szCs w:val="24"/>
        </w:rPr>
        <w:t>Figure Six represents the mortality rat</w:t>
      </w:r>
      <w:r>
        <w:rPr>
          <w:rFonts w:cstheme="minorHAnsi"/>
          <w:sz w:val="24"/>
        </w:rPr>
        <w:t>e by race/ethnicity. African Americans have the highest rate of heart disease and stroke compared to other race/ ethnicity groups, indicating a need to dedicate more resources to serving the African American population.</w:t>
      </w:r>
    </w:p>
    <w:p w14:paraId="0982AAAD" w14:textId="77777777" w:rsidR="00C22EB3" w:rsidRPr="00EB70C1" w:rsidRDefault="00C22EB3" w:rsidP="00801711">
      <w:pPr>
        <w:spacing w:after="0"/>
        <w:jc w:val="both"/>
        <w:rPr>
          <w:rFonts w:cstheme="minorHAnsi"/>
          <w:sz w:val="24"/>
        </w:rPr>
      </w:pPr>
    </w:p>
    <w:p w14:paraId="7167632A" w14:textId="54672CCE" w:rsidR="00CD45E9" w:rsidRPr="00EB70C1" w:rsidRDefault="005A3FE4" w:rsidP="00C22EB3">
      <w:pPr>
        <w:spacing w:after="60"/>
        <w:rPr>
          <w:rFonts w:cstheme="minorHAnsi"/>
          <w:szCs w:val="18"/>
        </w:rPr>
      </w:pPr>
      <w:r w:rsidRPr="00EB70C1">
        <w:rPr>
          <w:rFonts w:cstheme="minorHAnsi"/>
          <w:b/>
          <w:bCs/>
          <w:sz w:val="24"/>
        </w:rPr>
        <w:t xml:space="preserve">Figure 6. Chronic Disease Mortality Rate by Race/Ethnicity, Nevada Residents, </w:t>
      </w:r>
      <w:r w:rsidR="007A5251" w:rsidRPr="007C6D8D">
        <w:rPr>
          <w:rFonts w:cstheme="minorHAnsi"/>
          <w:b/>
          <w:bCs/>
          <w:sz w:val="24"/>
        </w:rPr>
        <w:t>2018 Nevada BRFSS Data</w:t>
      </w:r>
    </w:p>
    <w:p w14:paraId="2FD81973" w14:textId="7A822970" w:rsidR="00155E8F" w:rsidRPr="00EB70C1" w:rsidRDefault="005A3FE4" w:rsidP="001D2178">
      <w:pPr>
        <w:spacing w:after="0"/>
        <w:rPr>
          <w:rFonts w:cstheme="minorHAnsi"/>
        </w:rPr>
      </w:pPr>
      <w:r w:rsidRPr="008E6FA8">
        <w:rPr>
          <w:rFonts w:cstheme="minorHAnsi"/>
          <w:noProof/>
          <w:shd w:val="clear" w:color="auto" w:fill="70AD47"/>
        </w:rPr>
        <w:drawing>
          <wp:inline distT="0" distB="0" distL="0" distR="0" wp14:anchorId="7F68A8F4" wp14:editId="7D063340">
            <wp:extent cx="6734175" cy="1880007"/>
            <wp:effectExtent l="0" t="0" r="9525" b="6350"/>
            <wp:docPr id="36" name="Chart 36">
              <a:extLst xmlns:a="http://schemas.openxmlformats.org/drawingml/2006/main">
                <a:ext uri="{FF2B5EF4-FFF2-40B4-BE49-F238E27FC236}">
                  <a16:creationId xmlns:a16="http://schemas.microsoft.com/office/drawing/2014/main" id="{D800CE5F-5738-428F-A466-A70F55F191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C60B430" w14:textId="14ED7187" w:rsidR="0064709F" w:rsidRPr="00EB70C1" w:rsidRDefault="0064709F" w:rsidP="001D2178">
      <w:pPr>
        <w:spacing w:before="60" w:after="0"/>
        <w:rPr>
          <w:rFonts w:cstheme="minorHAnsi"/>
          <w:sz w:val="16"/>
          <w:szCs w:val="16"/>
        </w:rPr>
      </w:pPr>
      <w:r w:rsidRPr="00EB70C1">
        <w:rPr>
          <w:rFonts w:cstheme="minorHAnsi"/>
          <w:b/>
          <w:bCs/>
          <w:sz w:val="16"/>
          <w:szCs w:val="16"/>
        </w:rPr>
        <w:t xml:space="preserve">Source: </w:t>
      </w:r>
      <w:r w:rsidRPr="00EB70C1">
        <w:rPr>
          <w:rFonts w:cstheme="minorHAnsi"/>
          <w:sz w:val="16"/>
          <w:szCs w:val="16"/>
        </w:rPr>
        <w:t xml:space="preserve">Centers for Disease Control and Prevention (CDC). </w:t>
      </w:r>
      <w:r w:rsidRPr="00EB70C1">
        <w:rPr>
          <w:rFonts w:cstheme="minorHAnsi"/>
          <w:i/>
          <w:iCs/>
          <w:sz w:val="16"/>
          <w:szCs w:val="16"/>
        </w:rPr>
        <w:t>Behavioral Risk Factor Surveillance System Survey Data.</w:t>
      </w:r>
      <w:r w:rsidRPr="00EB70C1">
        <w:rPr>
          <w:rFonts w:cstheme="minorHAnsi"/>
          <w:sz w:val="16"/>
          <w:szCs w:val="16"/>
        </w:rPr>
        <w:t xml:space="preserve"> Atlanta, Georgia: U.S. Department of Health and Human Services, Centers for Disease Control and Prevention, 2018.</w:t>
      </w:r>
    </w:p>
    <w:p w14:paraId="74290495" w14:textId="00270C81" w:rsidR="009E0708" w:rsidRDefault="009E0708">
      <w:pPr>
        <w:rPr>
          <w:rFonts w:cstheme="minorHAnsi"/>
          <w:sz w:val="24"/>
          <w:szCs w:val="24"/>
        </w:rPr>
      </w:pPr>
      <w:r>
        <w:rPr>
          <w:rFonts w:cstheme="minorHAnsi"/>
          <w:sz w:val="24"/>
          <w:szCs w:val="24"/>
        </w:rPr>
        <w:br w:type="page"/>
      </w:r>
    </w:p>
    <w:p w14:paraId="41401970" w14:textId="77777777" w:rsidR="00B44214" w:rsidRPr="004342A0" w:rsidRDefault="00574225" w:rsidP="009259B0">
      <w:pPr>
        <w:pStyle w:val="Heading1STD0"/>
        <w:spacing w:before="0" w:after="120"/>
        <w:rPr>
          <w:rFonts w:asciiTheme="minorHAnsi" w:hAnsiTheme="minorHAnsi" w:cstheme="minorHAnsi"/>
          <w:sz w:val="36"/>
          <w:szCs w:val="36"/>
        </w:rPr>
      </w:pPr>
      <w:r w:rsidRPr="004342A0">
        <w:rPr>
          <w:rFonts w:asciiTheme="minorHAnsi" w:hAnsiTheme="minorHAnsi" w:cstheme="minorHAnsi"/>
          <w:sz w:val="36"/>
          <w:szCs w:val="36"/>
        </w:rPr>
        <w:lastRenderedPageBreak/>
        <w:t xml:space="preserve">Population and </w:t>
      </w:r>
      <w:r w:rsidR="00B828C7" w:rsidRPr="004342A0">
        <w:rPr>
          <w:rFonts w:asciiTheme="minorHAnsi" w:hAnsiTheme="minorHAnsi" w:cstheme="minorHAnsi"/>
          <w:sz w:val="36"/>
          <w:szCs w:val="36"/>
        </w:rPr>
        <w:t>Limitations</w:t>
      </w:r>
    </w:p>
    <w:p w14:paraId="1C8066D3" w14:textId="77777777" w:rsidR="00893E83" w:rsidRDefault="00893E83" w:rsidP="00893E83">
      <w:pPr>
        <w:spacing w:before="120" w:after="0"/>
        <w:jc w:val="both"/>
        <w:rPr>
          <w:rFonts w:cstheme="minorHAnsi"/>
          <w:sz w:val="24"/>
        </w:rPr>
      </w:pPr>
      <w:r w:rsidRPr="00EB70C1">
        <w:rPr>
          <w:rFonts w:cstheme="minorHAnsi"/>
          <w:sz w:val="24"/>
        </w:rPr>
        <w:t xml:space="preserve">The </w:t>
      </w:r>
      <w:r>
        <w:rPr>
          <w:rFonts w:cstheme="minorHAnsi"/>
          <w:sz w:val="24"/>
        </w:rPr>
        <w:t xml:space="preserve">2019 Stroke Registry Report was developed using </w:t>
      </w:r>
      <w:r w:rsidRPr="00EB70C1">
        <w:rPr>
          <w:rFonts w:cstheme="minorHAnsi"/>
          <w:sz w:val="24"/>
        </w:rPr>
        <w:t xml:space="preserve">data </w:t>
      </w:r>
      <w:r>
        <w:rPr>
          <w:rFonts w:cstheme="minorHAnsi"/>
          <w:sz w:val="24"/>
        </w:rPr>
        <w:t xml:space="preserve">obtained by </w:t>
      </w:r>
      <w:r w:rsidRPr="00BF5589">
        <w:rPr>
          <w:rFonts w:cstheme="minorHAnsi"/>
          <w:sz w:val="24"/>
        </w:rPr>
        <w:t>1</w:t>
      </w:r>
      <w:r w:rsidRPr="008E6FA8">
        <w:rPr>
          <w:rFonts w:cstheme="minorHAnsi"/>
          <w:sz w:val="24"/>
        </w:rPr>
        <w:t>5</w:t>
      </w:r>
      <w:r w:rsidRPr="00BF5589">
        <w:rPr>
          <w:rFonts w:cstheme="minorHAnsi"/>
          <w:sz w:val="24"/>
        </w:rPr>
        <w:t xml:space="preserve"> stroke</w:t>
      </w:r>
      <w:r w:rsidRPr="00EB70C1">
        <w:rPr>
          <w:rFonts w:cstheme="minorHAnsi"/>
          <w:sz w:val="24"/>
        </w:rPr>
        <w:t xml:space="preserve"> centers </w:t>
      </w:r>
      <w:r>
        <w:rPr>
          <w:rFonts w:cstheme="minorHAnsi"/>
          <w:sz w:val="24"/>
        </w:rPr>
        <w:t>participating</w:t>
      </w:r>
      <w:r w:rsidRPr="00EB70C1">
        <w:rPr>
          <w:rFonts w:cstheme="minorHAnsi"/>
          <w:sz w:val="24"/>
        </w:rPr>
        <w:t xml:space="preserve"> in the GWTG</w:t>
      </w:r>
      <w:r>
        <w:rPr>
          <w:rFonts w:cstheme="minorHAnsi"/>
          <w:sz w:val="24"/>
        </w:rPr>
        <w:t>-S</w:t>
      </w:r>
      <w:r w:rsidRPr="00EB70C1">
        <w:rPr>
          <w:rFonts w:cstheme="minorHAnsi"/>
          <w:sz w:val="24"/>
        </w:rPr>
        <w:t xml:space="preserve"> Registry. </w:t>
      </w:r>
      <w:r>
        <w:rPr>
          <w:rFonts w:cstheme="minorHAnsi"/>
          <w:sz w:val="24"/>
        </w:rPr>
        <w:t>T</w:t>
      </w:r>
      <w:r w:rsidRPr="00EB70C1">
        <w:rPr>
          <w:rFonts w:cstheme="minorHAnsi"/>
          <w:sz w:val="24"/>
        </w:rPr>
        <w:t xml:space="preserve">he participating stroke centers treated </w:t>
      </w:r>
      <w:r w:rsidRPr="00F73F0A">
        <w:rPr>
          <w:rFonts w:cstheme="minorHAnsi"/>
          <w:sz w:val="24"/>
        </w:rPr>
        <w:t>nearly 82</w:t>
      </w:r>
      <w:r>
        <w:rPr>
          <w:rFonts w:cstheme="minorHAnsi"/>
          <w:sz w:val="24"/>
        </w:rPr>
        <w:t xml:space="preserve"> percent </w:t>
      </w:r>
      <w:r w:rsidRPr="00F73F0A">
        <w:rPr>
          <w:rFonts w:cstheme="minorHAnsi"/>
          <w:sz w:val="24"/>
        </w:rPr>
        <w:t>of all</w:t>
      </w:r>
      <w:r w:rsidRPr="00EB70C1">
        <w:rPr>
          <w:rFonts w:cstheme="minorHAnsi"/>
          <w:sz w:val="24"/>
        </w:rPr>
        <w:t xml:space="preserve"> stroke visits reported in the Hospital Inpatient Billing (HIB) Data and the Hospital Emergency Department Billing (HEDB) Data collected in Nevada. The HIB and HEDB Data reflect all hospital visits in which treatment was provided to patients who were diagnosed with </w:t>
      </w:r>
      <w:r>
        <w:rPr>
          <w:rFonts w:cstheme="minorHAnsi"/>
          <w:sz w:val="24"/>
        </w:rPr>
        <w:t xml:space="preserve">a </w:t>
      </w:r>
      <w:r w:rsidRPr="00EB70C1">
        <w:rPr>
          <w:rFonts w:cstheme="minorHAnsi"/>
          <w:sz w:val="24"/>
        </w:rPr>
        <w:t>stroke-related International Classification of Diseases (ICD) Code</w:t>
      </w:r>
      <w:r>
        <w:rPr>
          <w:rFonts w:cstheme="minorHAnsi"/>
          <w:sz w:val="24"/>
        </w:rPr>
        <w:t>s</w:t>
      </w:r>
      <w:r w:rsidRPr="00EB70C1">
        <w:rPr>
          <w:rFonts w:cstheme="minorHAnsi"/>
          <w:sz w:val="24"/>
        </w:rPr>
        <w:t xml:space="preserve"> </w:t>
      </w:r>
      <w:r>
        <w:rPr>
          <w:rFonts w:cstheme="minorHAnsi"/>
          <w:sz w:val="24"/>
        </w:rPr>
        <w:t xml:space="preserve">160 – 169. </w:t>
      </w:r>
      <w:r w:rsidRPr="00EB70C1">
        <w:rPr>
          <w:rFonts w:cstheme="minorHAnsi"/>
          <w:sz w:val="24"/>
        </w:rPr>
        <w:t xml:space="preserve">However, the data </w:t>
      </w:r>
      <w:r>
        <w:rPr>
          <w:rFonts w:cstheme="minorHAnsi"/>
          <w:sz w:val="24"/>
        </w:rPr>
        <w:t xml:space="preserve">reflects the GWTG-S database, not the </w:t>
      </w:r>
      <w:r w:rsidRPr="00EB70C1">
        <w:rPr>
          <w:rFonts w:cstheme="minorHAnsi"/>
          <w:sz w:val="24"/>
        </w:rPr>
        <w:t>hospital data.</w:t>
      </w:r>
    </w:p>
    <w:p w14:paraId="1B218C19" w14:textId="77777777" w:rsidR="0066632D" w:rsidRPr="001D6A3E" w:rsidRDefault="0066632D" w:rsidP="00C31A29">
      <w:pPr>
        <w:spacing w:after="0"/>
        <w:jc w:val="both"/>
        <w:rPr>
          <w:rFonts w:cstheme="minorHAnsi"/>
          <w:sz w:val="20"/>
          <w:szCs w:val="20"/>
        </w:rPr>
      </w:pPr>
    </w:p>
    <w:p w14:paraId="29F91616" w14:textId="4A4A850C" w:rsidR="008553FC" w:rsidRDefault="00B44214" w:rsidP="00C31A29">
      <w:pPr>
        <w:spacing w:after="0"/>
        <w:jc w:val="both"/>
        <w:rPr>
          <w:rFonts w:cstheme="minorHAnsi"/>
          <w:sz w:val="24"/>
        </w:rPr>
      </w:pPr>
      <w:r w:rsidRPr="00EB70C1">
        <w:rPr>
          <w:rFonts w:cstheme="minorHAnsi"/>
          <w:sz w:val="24"/>
        </w:rPr>
        <w:t>The</w:t>
      </w:r>
      <w:r w:rsidR="00B905CA" w:rsidRPr="00EB70C1">
        <w:rPr>
          <w:rFonts w:cstheme="minorHAnsi"/>
          <w:sz w:val="24"/>
        </w:rPr>
        <w:t xml:space="preserve"> </w:t>
      </w:r>
      <w:r w:rsidR="0034562A" w:rsidRPr="00EB70C1">
        <w:rPr>
          <w:rFonts w:cstheme="minorHAnsi"/>
          <w:sz w:val="24"/>
        </w:rPr>
        <w:t>stroke performance measure</w:t>
      </w:r>
      <w:r w:rsidR="00101AB3">
        <w:rPr>
          <w:rFonts w:cstheme="minorHAnsi"/>
          <w:sz w:val="24"/>
        </w:rPr>
        <w:t>s</w:t>
      </w:r>
      <w:r w:rsidRPr="00EB70C1">
        <w:rPr>
          <w:rFonts w:cstheme="minorHAnsi"/>
          <w:sz w:val="24"/>
        </w:rPr>
        <w:t xml:space="preserve"> reflect the </w:t>
      </w:r>
      <w:r w:rsidR="00F9248C">
        <w:rPr>
          <w:rFonts w:cstheme="minorHAnsi"/>
          <w:sz w:val="24"/>
        </w:rPr>
        <w:t xml:space="preserve">data from the </w:t>
      </w:r>
      <w:r w:rsidRPr="00EB70C1">
        <w:rPr>
          <w:rFonts w:cstheme="minorHAnsi"/>
          <w:sz w:val="24"/>
        </w:rPr>
        <w:t xml:space="preserve">hospitals </w:t>
      </w:r>
      <w:r w:rsidR="00D904DA" w:rsidRPr="00EB70C1">
        <w:rPr>
          <w:rFonts w:cstheme="minorHAnsi"/>
          <w:sz w:val="24"/>
        </w:rPr>
        <w:t xml:space="preserve">participating in the </w:t>
      </w:r>
      <w:r w:rsidR="00D77C16" w:rsidRPr="00EB70C1">
        <w:rPr>
          <w:rFonts w:cstheme="minorHAnsi"/>
          <w:sz w:val="24"/>
        </w:rPr>
        <w:t>GWTG</w:t>
      </w:r>
      <w:r w:rsidR="007767B6" w:rsidRPr="00EB70C1">
        <w:rPr>
          <w:rFonts w:cstheme="minorHAnsi"/>
          <w:sz w:val="24"/>
        </w:rPr>
        <w:t>-</w:t>
      </w:r>
      <w:r w:rsidR="00AD391A" w:rsidRPr="00EB70C1">
        <w:rPr>
          <w:rFonts w:cstheme="minorHAnsi"/>
          <w:sz w:val="24"/>
        </w:rPr>
        <w:t>S</w:t>
      </w:r>
      <w:r w:rsidRPr="00EB70C1">
        <w:rPr>
          <w:rFonts w:cstheme="minorHAnsi"/>
          <w:sz w:val="24"/>
        </w:rPr>
        <w:t xml:space="preserve"> </w:t>
      </w:r>
      <w:r w:rsidR="008553FC" w:rsidRPr="00EB70C1">
        <w:rPr>
          <w:rFonts w:cstheme="minorHAnsi"/>
          <w:sz w:val="24"/>
        </w:rPr>
        <w:t>R</w:t>
      </w:r>
      <w:r w:rsidR="00B905CA" w:rsidRPr="00EB70C1">
        <w:rPr>
          <w:rFonts w:cstheme="minorHAnsi"/>
          <w:sz w:val="24"/>
        </w:rPr>
        <w:t xml:space="preserve">egistry </w:t>
      </w:r>
      <w:r w:rsidR="008553FC" w:rsidRPr="00EB70C1">
        <w:rPr>
          <w:rFonts w:cstheme="minorHAnsi"/>
          <w:sz w:val="24"/>
        </w:rPr>
        <w:t>P</w:t>
      </w:r>
      <w:r w:rsidR="003F5E8A" w:rsidRPr="00EB70C1">
        <w:rPr>
          <w:rFonts w:cstheme="minorHAnsi"/>
          <w:sz w:val="24"/>
        </w:rPr>
        <w:t>rogram</w:t>
      </w:r>
      <w:r w:rsidR="00AE27CA">
        <w:rPr>
          <w:rFonts w:cstheme="minorHAnsi"/>
          <w:sz w:val="24"/>
        </w:rPr>
        <w:t>,</w:t>
      </w:r>
      <w:r w:rsidR="003F5E8A" w:rsidRPr="00EB70C1">
        <w:rPr>
          <w:rFonts w:cstheme="minorHAnsi"/>
          <w:sz w:val="24"/>
        </w:rPr>
        <w:t xml:space="preserve"> </w:t>
      </w:r>
      <w:r w:rsidRPr="00EB70C1">
        <w:rPr>
          <w:rFonts w:cstheme="minorHAnsi"/>
          <w:sz w:val="24"/>
        </w:rPr>
        <w:t>and th</w:t>
      </w:r>
      <w:r w:rsidR="00CA11EE" w:rsidRPr="00EB70C1">
        <w:rPr>
          <w:rFonts w:cstheme="minorHAnsi"/>
          <w:sz w:val="24"/>
        </w:rPr>
        <w:t>erefore</w:t>
      </w:r>
      <w:r w:rsidR="005E2035">
        <w:rPr>
          <w:rFonts w:cstheme="minorHAnsi"/>
          <w:sz w:val="24"/>
        </w:rPr>
        <w:t xml:space="preserve"> conclusions</w:t>
      </w:r>
      <w:r w:rsidR="00CA11EE" w:rsidRPr="00EB70C1">
        <w:rPr>
          <w:rFonts w:cstheme="minorHAnsi"/>
          <w:sz w:val="24"/>
        </w:rPr>
        <w:t xml:space="preserve"> may not be generalized</w:t>
      </w:r>
      <w:r w:rsidRPr="00EB70C1">
        <w:rPr>
          <w:rFonts w:cstheme="minorHAnsi"/>
          <w:sz w:val="24"/>
        </w:rPr>
        <w:t xml:space="preserve"> to the state of Nevada.</w:t>
      </w:r>
      <w:r w:rsidR="0035470D" w:rsidRPr="00EB70C1">
        <w:rPr>
          <w:rFonts w:cstheme="minorHAnsi"/>
          <w:sz w:val="24"/>
        </w:rPr>
        <w:t xml:space="preserve"> </w:t>
      </w:r>
      <w:r w:rsidR="00EA350A">
        <w:rPr>
          <w:rFonts w:cstheme="minorHAnsi"/>
          <w:sz w:val="24"/>
        </w:rPr>
        <w:t>In 2018, The HDSP</w:t>
      </w:r>
      <w:r w:rsidR="00137C22">
        <w:rPr>
          <w:rFonts w:cstheme="minorHAnsi"/>
          <w:sz w:val="24"/>
        </w:rPr>
        <w:t xml:space="preserve"> Program </w:t>
      </w:r>
      <w:r w:rsidR="00AE27CA">
        <w:rPr>
          <w:rFonts w:cstheme="minorHAnsi"/>
          <w:sz w:val="24"/>
        </w:rPr>
        <w:t>obtained</w:t>
      </w:r>
      <w:r w:rsidR="00137C22">
        <w:rPr>
          <w:rFonts w:cstheme="minorHAnsi"/>
          <w:sz w:val="24"/>
        </w:rPr>
        <w:t xml:space="preserve"> super-user access to the GWTG-S registry</w:t>
      </w:r>
      <w:r w:rsidR="000C6D01">
        <w:rPr>
          <w:rFonts w:cstheme="minorHAnsi"/>
          <w:sz w:val="24"/>
        </w:rPr>
        <w:t>.</w:t>
      </w:r>
    </w:p>
    <w:p w14:paraId="1B7764B0" w14:textId="77777777" w:rsidR="0066632D" w:rsidRPr="001D6A3E" w:rsidRDefault="0066632D" w:rsidP="00C31A29">
      <w:pPr>
        <w:spacing w:after="0"/>
        <w:jc w:val="both"/>
        <w:rPr>
          <w:rFonts w:cstheme="minorHAnsi"/>
          <w:sz w:val="28"/>
          <w:szCs w:val="28"/>
        </w:rPr>
      </w:pPr>
    </w:p>
    <w:p w14:paraId="7CF84DCB" w14:textId="3F27A693" w:rsidR="00DB75F2" w:rsidRDefault="002A0006" w:rsidP="00C31A29">
      <w:pPr>
        <w:spacing w:after="0"/>
        <w:jc w:val="both"/>
        <w:rPr>
          <w:rFonts w:cstheme="minorHAnsi"/>
          <w:sz w:val="24"/>
        </w:rPr>
      </w:pPr>
      <w:r>
        <w:rPr>
          <w:rFonts w:cstheme="minorHAnsi"/>
          <w:sz w:val="24"/>
        </w:rPr>
        <w:t>NRS 439.5291</w:t>
      </w:r>
      <w:r w:rsidR="00D71084" w:rsidRPr="00EB70C1">
        <w:rPr>
          <w:rFonts w:cstheme="minorHAnsi"/>
          <w:sz w:val="24"/>
        </w:rPr>
        <w:t xml:space="preserve"> require</w:t>
      </w:r>
      <w:r w:rsidR="0064709F" w:rsidRPr="00EB70C1">
        <w:rPr>
          <w:rFonts w:cstheme="minorHAnsi"/>
          <w:sz w:val="24"/>
        </w:rPr>
        <w:t>s</w:t>
      </w:r>
      <w:r w:rsidR="00D71084" w:rsidRPr="00EB70C1">
        <w:rPr>
          <w:rFonts w:cstheme="minorHAnsi"/>
          <w:sz w:val="24"/>
        </w:rPr>
        <w:t xml:space="preserve"> </w:t>
      </w:r>
      <w:r w:rsidR="00194A29" w:rsidRPr="00EB70C1">
        <w:rPr>
          <w:rFonts w:cstheme="minorHAnsi"/>
          <w:sz w:val="24"/>
        </w:rPr>
        <w:t>certified stroke center</w:t>
      </w:r>
      <w:r w:rsidR="0064709F" w:rsidRPr="00EB70C1">
        <w:rPr>
          <w:rFonts w:cstheme="minorHAnsi"/>
          <w:sz w:val="24"/>
        </w:rPr>
        <w:t>s</w:t>
      </w:r>
      <w:r w:rsidR="0035470D" w:rsidRPr="00EB70C1">
        <w:rPr>
          <w:rFonts w:cstheme="minorHAnsi"/>
          <w:sz w:val="24"/>
        </w:rPr>
        <w:t xml:space="preserve"> </w:t>
      </w:r>
      <w:r w:rsidR="00616AAD" w:rsidRPr="00EB70C1">
        <w:rPr>
          <w:rFonts w:cstheme="minorHAnsi"/>
          <w:sz w:val="24"/>
        </w:rPr>
        <w:t>to</w:t>
      </w:r>
      <w:r w:rsidR="00D71084" w:rsidRPr="00EB70C1">
        <w:rPr>
          <w:rFonts w:cstheme="minorHAnsi"/>
          <w:sz w:val="24"/>
        </w:rPr>
        <w:t xml:space="preserve"> report data </w:t>
      </w:r>
      <w:r w:rsidR="00B905CA" w:rsidRPr="00EB70C1">
        <w:rPr>
          <w:rFonts w:cstheme="minorHAnsi"/>
          <w:sz w:val="24"/>
        </w:rPr>
        <w:t>to the Nevada Stroke Registry</w:t>
      </w:r>
      <w:r w:rsidR="00E0476D">
        <w:rPr>
          <w:rFonts w:cstheme="minorHAnsi"/>
          <w:sz w:val="24"/>
        </w:rPr>
        <w:t xml:space="preserve"> annually</w:t>
      </w:r>
      <w:r w:rsidR="0035470D" w:rsidRPr="00EB70C1">
        <w:rPr>
          <w:rFonts w:cstheme="minorHAnsi"/>
          <w:sz w:val="24"/>
        </w:rPr>
        <w:t xml:space="preserve">. </w:t>
      </w:r>
      <w:r w:rsidR="00E0476D">
        <w:rPr>
          <w:rFonts w:cstheme="minorHAnsi"/>
          <w:sz w:val="24"/>
        </w:rPr>
        <w:t xml:space="preserve">According to the Nevada Hospital Association, </w:t>
      </w:r>
      <w:r w:rsidR="0035470D" w:rsidRPr="00EB70C1">
        <w:rPr>
          <w:rFonts w:cstheme="minorHAnsi"/>
          <w:sz w:val="24"/>
        </w:rPr>
        <w:t xml:space="preserve">Nevada </w:t>
      </w:r>
      <w:r w:rsidR="006C3155" w:rsidRPr="00EB70C1">
        <w:rPr>
          <w:rFonts w:cstheme="minorHAnsi"/>
          <w:sz w:val="24"/>
        </w:rPr>
        <w:t>h</w:t>
      </w:r>
      <w:r w:rsidR="00482509" w:rsidRPr="00EB70C1">
        <w:rPr>
          <w:rFonts w:cstheme="minorHAnsi"/>
          <w:sz w:val="24"/>
        </w:rPr>
        <w:t>as</w:t>
      </w:r>
      <w:r w:rsidR="006C3155" w:rsidRPr="00EB70C1">
        <w:rPr>
          <w:rFonts w:cstheme="minorHAnsi"/>
          <w:sz w:val="24"/>
        </w:rPr>
        <w:t xml:space="preserve"> </w:t>
      </w:r>
      <w:r w:rsidR="006C3155" w:rsidRPr="00F73F0A">
        <w:rPr>
          <w:rFonts w:cstheme="minorHAnsi"/>
          <w:sz w:val="24"/>
        </w:rPr>
        <w:t>3</w:t>
      </w:r>
      <w:r w:rsidR="004E66E4" w:rsidRPr="00F73F0A">
        <w:rPr>
          <w:rFonts w:cstheme="minorHAnsi"/>
          <w:sz w:val="24"/>
        </w:rPr>
        <w:t>2</w:t>
      </w:r>
      <w:r w:rsidR="00BE47A6" w:rsidRPr="00EB70C1">
        <w:rPr>
          <w:rFonts w:cstheme="minorHAnsi"/>
          <w:sz w:val="24"/>
        </w:rPr>
        <w:t xml:space="preserve"> hospital</w:t>
      </w:r>
      <w:r w:rsidR="00C05167">
        <w:rPr>
          <w:rFonts w:cstheme="minorHAnsi"/>
          <w:sz w:val="24"/>
        </w:rPr>
        <w:t xml:space="preserve">s, 15 of which </w:t>
      </w:r>
      <w:r w:rsidR="00D71084" w:rsidRPr="00EB70C1">
        <w:rPr>
          <w:rFonts w:cstheme="minorHAnsi"/>
          <w:sz w:val="24"/>
        </w:rPr>
        <w:t xml:space="preserve">are </w:t>
      </w:r>
      <w:r w:rsidR="00E16161" w:rsidRPr="00EB70C1">
        <w:rPr>
          <w:rFonts w:cstheme="minorHAnsi"/>
          <w:sz w:val="24"/>
        </w:rPr>
        <w:t>certified stroke centers</w:t>
      </w:r>
      <w:r w:rsidR="005B2BB7" w:rsidRPr="00EB70C1">
        <w:rPr>
          <w:rFonts w:cstheme="minorHAnsi"/>
          <w:sz w:val="24"/>
        </w:rPr>
        <w:t xml:space="preserve"> per</w:t>
      </w:r>
      <w:r w:rsidR="0035470D" w:rsidRPr="00EB70C1">
        <w:rPr>
          <w:rFonts w:cstheme="minorHAnsi"/>
          <w:sz w:val="24"/>
        </w:rPr>
        <w:t xml:space="preserve"> </w:t>
      </w:r>
      <w:r w:rsidR="0005213C" w:rsidRPr="00EB70C1">
        <w:rPr>
          <w:rFonts w:cstheme="minorHAnsi"/>
          <w:sz w:val="24"/>
        </w:rPr>
        <w:t xml:space="preserve">the </w:t>
      </w:r>
      <w:r w:rsidR="00745087" w:rsidRPr="00EB70C1">
        <w:rPr>
          <w:rFonts w:cstheme="minorHAnsi"/>
          <w:sz w:val="24"/>
        </w:rPr>
        <w:t>AHA</w:t>
      </w:r>
      <w:r w:rsidR="00B905CA" w:rsidRPr="00EB70C1">
        <w:rPr>
          <w:rFonts w:cstheme="minorHAnsi"/>
          <w:sz w:val="24"/>
        </w:rPr>
        <w:t>/ASA</w:t>
      </w:r>
      <w:r w:rsidR="0014228A" w:rsidRPr="00EB70C1">
        <w:rPr>
          <w:rFonts w:cstheme="minorHAnsi"/>
          <w:sz w:val="24"/>
        </w:rPr>
        <w:t xml:space="preserve"> designation</w:t>
      </w:r>
      <w:r w:rsidR="0035470D" w:rsidRPr="00EB70C1">
        <w:rPr>
          <w:rFonts w:cstheme="minorHAnsi"/>
          <w:sz w:val="24"/>
        </w:rPr>
        <w:t xml:space="preserve">. </w:t>
      </w:r>
      <w:r w:rsidR="001D583E" w:rsidRPr="00EB70C1">
        <w:rPr>
          <w:rFonts w:cstheme="minorHAnsi"/>
          <w:sz w:val="24"/>
        </w:rPr>
        <w:t>T</w:t>
      </w:r>
      <w:r w:rsidR="00F829AD" w:rsidRPr="00EB70C1">
        <w:rPr>
          <w:rFonts w:cstheme="minorHAnsi"/>
          <w:sz w:val="24"/>
        </w:rPr>
        <w:t xml:space="preserve">he data accessed through </w:t>
      </w:r>
      <w:r w:rsidR="00D77C16" w:rsidRPr="00EB70C1">
        <w:rPr>
          <w:rFonts w:cstheme="minorHAnsi"/>
          <w:sz w:val="24"/>
        </w:rPr>
        <w:t>GWTG</w:t>
      </w:r>
      <w:r w:rsidR="00482509" w:rsidRPr="00EB70C1">
        <w:rPr>
          <w:rFonts w:cstheme="minorHAnsi"/>
          <w:sz w:val="24"/>
        </w:rPr>
        <w:t>-S</w:t>
      </w:r>
      <w:r w:rsidR="00D77C16" w:rsidRPr="00EB70C1">
        <w:rPr>
          <w:rFonts w:cstheme="minorHAnsi"/>
          <w:sz w:val="24"/>
        </w:rPr>
        <w:t xml:space="preserve"> </w:t>
      </w:r>
      <w:r w:rsidR="00F829AD" w:rsidRPr="00EB70C1">
        <w:rPr>
          <w:rFonts w:cstheme="minorHAnsi"/>
          <w:sz w:val="24"/>
        </w:rPr>
        <w:t>is de-identified and</w:t>
      </w:r>
      <w:r w:rsidR="00D77C16" w:rsidRPr="00EB70C1">
        <w:rPr>
          <w:rFonts w:cstheme="minorHAnsi"/>
          <w:sz w:val="24"/>
        </w:rPr>
        <w:t xml:space="preserve"> not compiled in a fashion to allow comparison</w:t>
      </w:r>
      <w:r w:rsidR="001D583E" w:rsidRPr="00EB70C1">
        <w:rPr>
          <w:rFonts w:cstheme="minorHAnsi"/>
          <w:sz w:val="24"/>
        </w:rPr>
        <w:t>s</w:t>
      </w:r>
      <w:r w:rsidR="00D77C16" w:rsidRPr="00EB70C1">
        <w:rPr>
          <w:rFonts w:cstheme="minorHAnsi"/>
          <w:sz w:val="24"/>
        </w:rPr>
        <w:t xml:space="preserve"> across different hospitals</w:t>
      </w:r>
      <w:r w:rsidR="00F829AD" w:rsidRPr="00EB70C1">
        <w:rPr>
          <w:rFonts w:cstheme="minorHAnsi"/>
          <w:sz w:val="24"/>
        </w:rPr>
        <w:t>. Th</w:t>
      </w:r>
      <w:r w:rsidR="00400435" w:rsidRPr="00EB70C1">
        <w:rPr>
          <w:rFonts w:cstheme="minorHAnsi"/>
          <w:sz w:val="24"/>
        </w:rPr>
        <w:t xml:space="preserve">e data accessed </w:t>
      </w:r>
      <w:r w:rsidR="00FF6812" w:rsidRPr="00EB70C1">
        <w:rPr>
          <w:rFonts w:cstheme="minorHAnsi"/>
          <w:sz w:val="24"/>
        </w:rPr>
        <w:t>through</w:t>
      </w:r>
      <w:r w:rsidR="00400435" w:rsidRPr="00EB70C1">
        <w:rPr>
          <w:rFonts w:cstheme="minorHAnsi"/>
          <w:sz w:val="24"/>
        </w:rPr>
        <w:t xml:space="preserve"> GWTG-S </w:t>
      </w:r>
      <w:r w:rsidR="00F829AD" w:rsidRPr="00EB70C1">
        <w:rPr>
          <w:rFonts w:cstheme="minorHAnsi"/>
          <w:sz w:val="24"/>
        </w:rPr>
        <w:t xml:space="preserve">will be </w:t>
      </w:r>
      <w:r w:rsidR="001E25F2" w:rsidRPr="00EB70C1">
        <w:rPr>
          <w:rFonts w:cstheme="minorHAnsi"/>
          <w:sz w:val="24"/>
        </w:rPr>
        <w:t>analyzed</w:t>
      </w:r>
      <w:r w:rsidR="00F829AD" w:rsidRPr="00EB70C1">
        <w:rPr>
          <w:rFonts w:cstheme="minorHAnsi"/>
          <w:sz w:val="24"/>
        </w:rPr>
        <w:t xml:space="preserve"> </w:t>
      </w:r>
      <w:r w:rsidR="00B905CA" w:rsidRPr="00EB70C1">
        <w:rPr>
          <w:rFonts w:cstheme="minorHAnsi"/>
          <w:sz w:val="24"/>
        </w:rPr>
        <w:t>to</w:t>
      </w:r>
      <w:r w:rsidR="00616AAD" w:rsidRPr="00EB70C1">
        <w:rPr>
          <w:rFonts w:cstheme="minorHAnsi"/>
          <w:sz w:val="24"/>
        </w:rPr>
        <w:t xml:space="preserve"> develop </w:t>
      </w:r>
      <w:r w:rsidR="004465EC" w:rsidRPr="00EB70C1">
        <w:rPr>
          <w:rFonts w:cstheme="minorHAnsi"/>
          <w:sz w:val="24"/>
        </w:rPr>
        <w:t>patient care</w:t>
      </w:r>
      <w:r w:rsidR="00191057" w:rsidRPr="00EB70C1">
        <w:rPr>
          <w:rFonts w:cstheme="minorHAnsi"/>
          <w:sz w:val="24"/>
        </w:rPr>
        <w:t xml:space="preserve"> </w:t>
      </w:r>
      <w:r w:rsidR="00616AAD" w:rsidRPr="00EB70C1">
        <w:rPr>
          <w:rFonts w:cstheme="minorHAnsi"/>
          <w:sz w:val="24"/>
        </w:rPr>
        <w:t>quality improvement recommendations</w:t>
      </w:r>
      <w:r w:rsidR="00F829AD" w:rsidRPr="00EB70C1">
        <w:rPr>
          <w:rFonts w:cstheme="minorHAnsi"/>
          <w:sz w:val="24"/>
        </w:rPr>
        <w:t>.</w:t>
      </w:r>
      <w:r w:rsidR="005307D8" w:rsidRPr="00EB70C1">
        <w:rPr>
          <w:rFonts w:cstheme="minorHAnsi"/>
          <w:sz w:val="24"/>
        </w:rPr>
        <w:t xml:space="preserve"> </w:t>
      </w:r>
      <w:r w:rsidR="00DB75F2" w:rsidRPr="00EB70C1">
        <w:rPr>
          <w:rFonts w:cstheme="minorHAnsi"/>
          <w:sz w:val="24"/>
        </w:rPr>
        <w:t>For example, the aggregate data</w:t>
      </w:r>
      <w:r w:rsidR="00B87607" w:rsidRPr="00EB70C1">
        <w:rPr>
          <w:rFonts w:cstheme="minorHAnsi"/>
          <w:sz w:val="24"/>
        </w:rPr>
        <w:t xml:space="preserve"> from all 1</w:t>
      </w:r>
      <w:r w:rsidR="003E39AA">
        <w:rPr>
          <w:rFonts w:cstheme="minorHAnsi"/>
          <w:sz w:val="24"/>
        </w:rPr>
        <w:t>5</w:t>
      </w:r>
      <w:r w:rsidR="00B87607" w:rsidRPr="00EB70C1">
        <w:rPr>
          <w:rFonts w:cstheme="minorHAnsi"/>
          <w:sz w:val="24"/>
        </w:rPr>
        <w:t xml:space="preserve"> hospitals</w:t>
      </w:r>
      <w:r w:rsidR="00DB75F2" w:rsidRPr="00EB70C1">
        <w:rPr>
          <w:rFonts w:cstheme="minorHAnsi"/>
          <w:sz w:val="24"/>
        </w:rPr>
        <w:t xml:space="preserve"> can be used to address disparities in stroke </w:t>
      </w:r>
      <w:r w:rsidR="001D583E" w:rsidRPr="00EB70C1">
        <w:rPr>
          <w:rFonts w:cstheme="minorHAnsi"/>
          <w:sz w:val="24"/>
        </w:rPr>
        <w:t xml:space="preserve">prevalence </w:t>
      </w:r>
      <w:r w:rsidR="00DB75F2" w:rsidRPr="00EB70C1">
        <w:rPr>
          <w:rFonts w:cstheme="minorHAnsi"/>
          <w:sz w:val="24"/>
        </w:rPr>
        <w:t>by race</w:t>
      </w:r>
      <w:r w:rsidR="001D583E" w:rsidRPr="00EB70C1">
        <w:rPr>
          <w:rFonts w:cstheme="minorHAnsi"/>
          <w:sz w:val="24"/>
        </w:rPr>
        <w:t>/ethnicity</w:t>
      </w:r>
      <w:r w:rsidR="00DB75F2" w:rsidRPr="00EB70C1">
        <w:rPr>
          <w:rFonts w:cstheme="minorHAnsi"/>
          <w:sz w:val="24"/>
        </w:rPr>
        <w:t>, gender, and</w:t>
      </w:r>
      <w:r w:rsidR="008771C5">
        <w:rPr>
          <w:rFonts w:cstheme="minorHAnsi"/>
          <w:sz w:val="24"/>
        </w:rPr>
        <w:t>/or</w:t>
      </w:r>
      <w:r w:rsidR="00DB75F2" w:rsidRPr="00EB70C1">
        <w:rPr>
          <w:rFonts w:cstheme="minorHAnsi"/>
          <w:sz w:val="24"/>
        </w:rPr>
        <w:t xml:space="preserve"> insurance status.</w:t>
      </w:r>
    </w:p>
    <w:p w14:paraId="4BC69884" w14:textId="77777777" w:rsidR="00A95BD8" w:rsidRPr="001D6A3E" w:rsidRDefault="00A95BD8" w:rsidP="00C31A29">
      <w:pPr>
        <w:spacing w:after="0"/>
        <w:jc w:val="both"/>
        <w:rPr>
          <w:rFonts w:cstheme="minorHAnsi"/>
          <w:sz w:val="20"/>
          <w:szCs w:val="18"/>
        </w:rPr>
      </w:pPr>
    </w:p>
    <w:p w14:paraId="16C16180" w14:textId="4C79A8D4" w:rsidR="005307D8" w:rsidRDefault="008771C5" w:rsidP="00C31A29">
      <w:pPr>
        <w:spacing w:after="0"/>
        <w:jc w:val="both"/>
        <w:rPr>
          <w:rFonts w:cstheme="minorHAnsi"/>
          <w:sz w:val="24"/>
        </w:rPr>
      </w:pPr>
      <w:r>
        <w:rPr>
          <w:rFonts w:cstheme="minorHAnsi"/>
          <w:sz w:val="24"/>
        </w:rPr>
        <w:t xml:space="preserve">The </w:t>
      </w:r>
      <w:r w:rsidR="00F27984">
        <w:rPr>
          <w:rFonts w:cstheme="minorHAnsi"/>
          <w:sz w:val="24"/>
        </w:rPr>
        <w:t>HDSP Program</w:t>
      </w:r>
      <w:r w:rsidR="00F27984" w:rsidRPr="00EB70C1">
        <w:rPr>
          <w:rFonts w:cstheme="minorHAnsi"/>
          <w:sz w:val="24"/>
        </w:rPr>
        <w:t xml:space="preserve"> </w:t>
      </w:r>
      <w:r w:rsidR="005307D8" w:rsidRPr="00EB70C1">
        <w:rPr>
          <w:rFonts w:cstheme="minorHAnsi"/>
          <w:sz w:val="24"/>
        </w:rPr>
        <w:t xml:space="preserve">will continue to educate hospitals on the </w:t>
      </w:r>
      <w:r w:rsidR="00612C08" w:rsidRPr="00EB70C1">
        <w:rPr>
          <w:rFonts w:cstheme="minorHAnsi"/>
          <w:sz w:val="24"/>
        </w:rPr>
        <w:t xml:space="preserve">importance </w:t>
      </w:r>
      <w:r w:rsidR="005854E9">
        <w:rPr>
          <w:rFonts w:cstheme="minorHAnsi"/>
          <w:sz w:val="24"/>
        </w:rPr>
        <w:t>of providing</w:t>
      </w:r>
      <w:r w:rsidR="005307D8" w:rsidRPr="00EB70C1">
        <w:rPr>
          <w:rFonts w:cstheme="minorHAnsi"/>
          <w:sz w:val="24"/>
        </w:rPr>
        <w:t xml:space="preserve"> comprehensive data to the </w:t>
      </w:r>
      <w:r w:rsidR="00482509" w:rsidRPr="00EB70C1">
        <w:rPr>
          <w:rFonts w:cstheme="minorHAnsi"/>
          <w:sz w:val="24"/>
        </w:rPr>
        <w:t xml:space="preserve">Nevada </w:t>
      </w:r>
      <w:r w:rsidR="005307D8" w:rsidRPr="00EB70C1">
        <w:rPr>
          <w:rFonts w:cstheme="minorHAnsi"/>
          <w:sz w:val="24"/>
        </w:rPr>
        <w:t>Stroke Registry</w:t>
      </w:r>
      <w:r w:rsidR="00E36CAD">
        <w:rPr>
          <w:rFonts w:cstheme="minorHAnsi"/>
          <w:sz w:val="24"/>
        </w:rPr>
        <w:t xml:space="preserve">. The HDSP Program would like to thank the following hospitals for participating in the GWTG-S registry. Without their invaluable participation this would not have been possible. </w:t>
      </w:r>
    </w:p>
    <w:p w14:paraId="724E995D" w14:textId="77777777" w:rsidR="00C22EB3" w:rsidRPr="00EB70C1" w:rsidRDefault="00C22EB3" w:rsidP="00C31A29">
      <w:pPr>
        <w:spacing w:after="0"/>
        <w:jc w:val="both"/>
        <w:rPr>
          <w:rFonts w:cstheme="minorHAnsi"/>
          <w:sz w:val="24"/>
        </w:rPr>
      </w:pPr>
    </w:p>
    <w:p w14:paraId="4A6284BE" w14:textId="13B9DCCE" w:rsidR="00616AAD" w:rsidRDefault="002835B6" w:rsidP="00C31A29">
      <w:pPr>
        <w:pStyle w:val="Heading2STD"/>
        <w:spacing w:before="0" w:line="276" w:lineRule="auto"/>
        <w:rPr>
          <w:rFonts w:asciiTheme="minorHAnsi" w:hAnsiTheme="minorHAnsi" w:cstheme="minorHAnsi"/>
          <w:sz w:val="22"/>
          <w:szCs w:val="22"/>
        </w:rPr>
      </w:pPr>
      <w:r w:rsidRPr="00EB70C1">
        <w:rPr>
          <w:rFonts w:asciiTheme="minorHAnsi" w:hAnsiTheme="minorHAnsi" w:cstheme="minorHAnsi"/>
          <w:sz w:val="24"/>
          <w:szCs w:val="24"/>
        </w:rPr>
        <w:t xml:space="preserve">Nevada Hospitals Participating in the </w:t>
      </w:r>
      <w:r w:rsidR="0010492D" w:rsidRPr="00EB70C1">
        <w:rPr>
          <w:rFonts w:asciiTheme="minorHAnsi" w:hAnsiTheme="minorHAnsi" w:cstheme="minorHAnsi"/>
          <w:sz w:val="24"/>
          <w:szCs w:val="24"/>
        </w:rPr>
        <w:t>Stroke Registry</w:t>
      </w:r>
      <w:r w:rsidR="00F829AD" w:rsidRPr="00EB70C1">
        <w:rPr>
          <w:rFonts w:asciiTheme="minorHAnsi" w:hAnsiTheme="minorHAnsi" w:cstheme="minorHAnsi"/>
        </w:rPr>
        <w:t xml:space="preserve"> </w:t>
      </w:r>
      <w:r w:rsidR="00F829AD" w:rsidRPr="00EB70C1">
        <w:rPr>
          <w:rFonts w:asciiTheme="minorHAnsi" w:hAnsiTheme="minorHAnsi" w:cstheme="minorHAnsi"/>
          <w:sz w:val="22"/>
          <w:szCs w:val="22"/>
        </w:rPr>
        <w:t>(</w:t>
      </w:r>
      <w:r w:rsidR="00D77C16" w:rsidRPr="00EB70C1">
        <w:rPr>
          <w:rFonts w:asciiTheme="minorHAnsi" w:hAnsiTheme="minorHAnsi" w:cstheme="minorHAnsi"/>
          <w:sz w:val="22"/>
          <w:szCs w:val="22"/>
        </w:rPr>
        <w:t xml:space="preserve">as of </w:t>
      </w:r>
      <w:r w:rsidR="005D3613" w:rsidRPr="00EB70C1">
        <w:rPr>
          <w:rFonts w:asciiTheme="minorHAnsi" w:hAnsiTheme="minorHAnsi" w:cstheme="minorHAnsi"/>
          <w:sz w:val="22"/>
          <w:szCs w:val="22"/>
        </w:rPr>
        <w:t>April</w:t>
      </w:r>
      <w:r w:rsidR="00F829AD" w:rsidRPr="00EB70C1">
        <w:rPr>
          <w:rFonts w:asciiTheme="minorHAnsi" w:hAnsiTheme="minorHAnsi" w:cstheme="minorHAnsi"/>
          <w:sz w:val="22"/>
          <w:szCs w:val="22"/>
        </w:rPr>
        <w:t xml:space="preserve"> 20</w:t>
      </w:r>
      <w:r w:rsidR="00B41EF4">
        <w:rPr>
          <w:rFonts w:asciiTheme="minorHAnsi" w:hAnsiTheme="minorHAnsi" w:cstheme="minorHAnsi"/>
          <w:sz w:val="22"/>
          <w:szCs w:val="22"/>
        </w:rPr>
        <w:t>20</w:t>
      </w:r>
      <w:r w:rsidR="00F829AD" w:rsidRPr="00EB70C1">
        <w:rPr>
          <w:rFonts w:asciiTheme="minorHAnsi" w:hAnsiTheme="minorHAnsi" w:cstheme="minorHAnsi"/>
          <w:sz w:val="22"/>
          <w:szCs w:val="22"/>
        </w:rPr>
        <w:t>)</w:t>
      </w:r>
      <w:r w:rsidR="00D46124" w:rsidRPr="00EB70C1">
        <w:rPr>
          <w:rFonts w:asciiTheme="minorHAnsi" w:hAnsiTheme="minorHAnsi" w:cstheme="minorHAnsi"/>
          <w:sz w:val="22"/>
          <w:szCs w:val="22"/>
        </w:rPr>
        <w:t xml:space="preserve">  </w:t>
      </w:r>
    </w:p>
    <w:p w14:paraId="059FF660" w14:textId="77777777" w:rsidR="007A5251" w:rsidRDefault="007A5251" w:rsidP="00C31A29">
      <w:pPr>
        <w:spacing w:after="0"/>
        <w:ind w:left="720"/>
        <w:rPr>
          <w:sz w:val="24"/>
          <w:szCs w:val="24"/>
        </w:rPr>
        <w:sectPr w:rsidR="007A5251" w:rsidSect="00070E53">
          <w:footerReference w:type="default" r:id="rId20"/>
          <w:pgSz w:w="12240" w:h="15840"/>
          <w:pgMar w:top="720" w:right="720" w:bottom="720" w:left="720" w:header="432" w:footer="432" w:gutter="0"/>
          <w:pgNumType w:start="1"/>
          <w:cols w:space="720"/>
          <w:docGrid w:linePitch="360"/>
        </w:sectPr>
      </w:pPr>
    </w:p>
    <w:p w14:paraId="177DBBE7" w14:textId="4FD3A64F" w:rsidR="00EB70C1" w:rsidRPr="008E6FA8" w:rsidRDefault="00EB70C1" w:rsidP="00024B80">
      <w:pPr>
        <w:spacing w:after="0"/>
        <w:rPr>
          <w:sz w:val="24"/>
          <w:szCs w:val="24"/>
        </w:rPr>
      </w:pPr>
      <w:r w:rsidRPr="008E6FA8">
        <w:rPr>
          <w:sz w:val="24"/>
          <w:szCs w:val="24"/>
        </w:rPr>
        <w:t>Centennial Hills Hospital</w:t>
      </w:r>
    </w:p>
    <w:p w14:paraId="1E3EDB7D" w14:textId="6FEBF4B2" w:rsidR="00EB70C1" w:rsidRPr="008E6FA8" w:rsidRDefault="00EB70C1" w:rsidP="00024B80">
      <w:pPr>
        <w:spacing w:after="0"/>
        <w:rPr>
          <w:sz w:val="24"/>
          <w:szCs w:val="24"/>
        </w:rPr>
      </w:pPr>
      <w:r w:rsidRPr="008E6FA8">
        <w:rPr>
          <w:sz w:val="24"/>
          <w:szCs w:val="24"/>
        </w:rPr>
        <w:t>Desert Springs Hospital</w:t>
      </w:r>
    </w:p>
    <w:p w14:paraId="4A1739CA" w14:textId="15323D7F" w:rsidR="00EB70C1" w:rsidRDefault="00EB70C1" w:rsidP="00024B80">
      <w:pPr>
        <w:spacing w:after="0"/>
        <w:rPr>
          <w:color w:val="000000" w:themeColor="text1"/>
          <w:sz w:val="24"/>
          <w:szCs w:val="24"/>
        </w:rPr>
      </w:pPr>
      <w:r w:rsidRPr="008E6FA8">
        <w:rPr>
          <w:color w:val="000000" w:themeColor="text1"/>
          <w:sz w:val="24"/>
          <w:szCs w:val="24"/>
        </w:rPr>
        <w:t>Henderson Hospital</w:t>
      </w:r>
    </w:p>
    <w:p w14:paraId="436DE882" w14:textId="02D1C0AC" w:rsidR="00AF5041" w:rsidRPr="008E6FA8" w:rsidRDefault="00AF5041" w:rsidP="00024B80">
      <w:pPr>
        <w:spacing w:after="0"/>
        <w:rPr>
          <w:color w:val="000000" w:themeColor="text1"/>
          <w:sz w:val="24"/>
          <w:szCs w:val="24"/>
        </w:rPr>
      </w:pPr>
      <w:r>
        <w:rPr>
          <w:color w:val="000000" w:themeColor="text1"/>
          <w:sz w:val="24"/>
          <w:szCs w:val="24"/>
        </w:rPr>
        <w:t>Mountain</w:t>
      </w:r>
    </w:p>
    <w:p w14:paraId="315E067F" w14:textId="2F66D14A" w:rsidR="00EB70C1" w:rsidRPr="008E6FA8" w:rsidRDefault="00EB70C1" w:rsidP="00024B80">
      <w:pPr>
        <w:spacing w:after="0"/>
        <w:rPr>
          <w:color w:val="000000" w:themeColor="text1"/>
          <w:sz w:val="24"/>
          <w:szCs w:val="24"/>
        </w:rPr>
      </w:pPr>
      <w:r w:rsidRPr="008E6FA8">
        <w:rPr>
          <w:color w:val="000000" w:themeColor="text1"/>
          <w:sz w:val="24"/>
          <w:szCs w:val="24"/>
        </w:rPr>
        <w:t xml:space="preserve">Mountain View Hospital </w:t>
      </w:r>
    </w:p>
    <w:p w14:paraId="4F6EAFDD" w14:textId="1677C54C" w:rsidR="00EB70C1" w:rsidRPr="008E6FA8" w:rsidRDefault="00EB70C1" w:rsidP="00024B80">
      <w:pPr>
        <w:spacing w:after="0"/>
        <w:rPr>
          <w:color w:val="000000" w:themeColor="text1"/>
          <w:sz w:val="24"/>
          <w:szCs w:val="24"/>
        </w:rPr>
      </w:pPr>
      <w:r w:rsidRPr="008E6FA8">
        <w:rPr>
          <w:color w:val="000000" w:themeColor="text1"/>
          <w:sz w:val="24"/>
          <w:szCs w:val="24"/>
        </w:rPr>
        <w:t xml:space="preserve">Northern Nevada Medical Center </w:t>
      </w:r>
    </w:p>
    <w:p w14:paraId="664EA27F" w14:textId="0BD8BE0B" w:rsidR="00C416A7" w:rsidRPr="008E6FA8" w:rsidRDefault="00EB70C1" w:rsidP="00024B80">
      <w:pPr>
        <w:spacing w:after="0"/>
        <w:rPr>
          <w:color w:val="000000" w:themeColor="text1"/>
          <w:sz w:val="24"/>
          <w:szCs w:val="24"/>
        </w:rPr>
      </w:pPr>
      <w:r w:rsidRPr="008E6FA8">
        <w:rPr>
          <w:color w:val="000000" w:themeColor="text1"/>
          <w:sz w:val="24"/>
          <w:szCs w:val="24"/>
        </w:rPr>
        <w:t xml:space="preserve">Renown Regional Medical Center </w:t>
      </w:r>
    </w:p>
    <w:p w14:paraId="72BD5DE2" w14:textId="77777777" w:rsidR="00C416A7" w:rsidRPr="008E6FA8" w:rsidRDefault="00C416A7" w:rsidP="00024B80">
      <w:pPr>
        <w:spacing w:after="0"/>
        <w:rPr>
          <w:color w:val="000000" w:themeColor="text1"/>
          <w:sz w:val="24"/>
          <w:szCs w:val="24"/>
        </w:rPr>
      </w:pPr>
      <w:r w:rsidRPr="008E6FA8">
        <w:rPr>
          <w:color w:val="000000" w:themeColor="text1"/>
          <w:sz w:val="24"/>
          <w:szCs w:val="24"/>
        </w:rPr>
        <w:t>St. Mary's Regional Medical Center</w:t>
      </w:r>
    </w:p>
    <w:p w14:paraId="54C74DC4" w14:textId="14FF5FC6" w:rsidR="00C416A7" w:rsidRPr="008E6FA8" w:rsidRDefault="00C416A7" w:rsidP="00024B80">
      <w:pPr>
        <w:spacing w:after="0"/>
        <w:ind w:left="90"/>
        <w:rPr>
          <w:color w:val="000000" w:themeColor="text1"/>
          <w:sz w:val="24"/>
          <w:szCs w:val="24"/>
        </w:rPr>
      </w:pPr>
      <w:r w:rsidRPr="008E6FA8">
        <w:rPr>
          <w:color w:val="000000" w:themeColor="text1"/>
          <w:sz w:val="24"/>
          <w:szCs w:val="24"/>
        </w:rPr>
        <w:t xml:space="preserve">Southern Hills Hospital and Medical Center </w:t>
      </w:r>
    </w:p>
    <w:p w14:paraId="4B5703D0" w14:textId="2409F61D" w:rsidR="00C416A7" w:rsidRPr="008E6FA8" w:rsidRDefault="00C416A7" w:rsidP="00024B80">
      <w:pPr>
        <w:spacing w:after="0"/>
        <w:ind w:left="90"/>
        <w:rPr>
          <w:color w:val="000000" w:themeColor="text1"/>
          <w:sz w:val="24"/>
          <w:szCs w:val="24"/>
        </w:rPr>
      </w:pPr>
      <w:r w:rsidRPr="008E6FA8">
        <w:rPr>
          <w:color w:val="000000" w:themeColor="text1"/>
          <w:sz w:val="24"/>
          <w:szCs w:val="24"/>
        </w:rPr>
        <w:t xml:space="preserve">Spring Valley Hospital Medical Center </w:t>
      </w:r>
    </w:p>
    <w:p w14:paraId="63E526CB" w14:textId="2D337F71" w:rsidR="00C416A7" w:rsidRPr="008E6FA8" w:rsidRDefault="00C416A7" w:rsidP="00024B80">
      <w:pPr>
        <w:spacing w:after="0"/>
        <w:ind w:left="90"/>
        <w:rPr>
          <w:color w:val="000000" w:themeColor="text1"/>
          <w:sz w:val="24"/>
          <w:szCs w:val="24"/>
        </w:rPr>
      </w:pPr>
      <w:r w:rsidRPr="008E6FA8">
        <w:rPr>
          <w:color w:val="000000" w:themeColor="text1"/>
          <w:sz w:val="24"/>
          <w:szCs w:val="24"/>
        </w:rPr>
        <w:t xml:space="preserve">Summerlin Hospital Medical Center </w:t>
      </w:r>
    </w:p>
    <w:p w14:paraId="28F99D9A" w14:textId="2BACE1C7" w:rsidR="00C416A7" w:rsidRPr="008E6FA8" w:rsidRDefault="00C416A7" w:rsidP="00024B80">
      <w:pPr>
        <w:spacing w:after="0"/>
        <w:ind w:left="90"/>
        <w:rPr>
          <w:color w:val="000000" w:themeColor="text1"/>
          <w:sz w:val="24"/>
          <w:szCs w:val="24"/>
        </w:rPr>
      </w:pPr>
      <w:r w:rsidRPr="008E6FA8">
        <w:rPr>
          <w:color w:val="000000" w:themeColor="text1"/>
          <w:sz w:val="24"/>
          <w:szCs w:val="24"/>
        </w:rPr>
        <w:t xml:space="preserve">Sunrise Hospital </w:t>
      </w:r>
    </w:p>
    <w:p w14:paraId="1E884D16" w14:textId="225E4CF6" w:rsidR="00C416A7" w:rsidRPr="008E6FA8" w:rsidRDefault="00C416A7" w:rsidP="00024B80">
      <w:pPr>
        <w:spacing w:after="0"/>
        <w:ind w:left="90"/>
        <w:rPr>
          <w:color w:val="000000" w:themeColor="text1"/>
          <w:sz w:val="24"/>
          <w:szCs w:val="24"/>
        </w:rPr>
      </w:pPr>
      <w:r w:rsidRPr="008E6FA8">
        <w:rPr>
          <w:color w:val="000000" w:themeColor="text1"/>
          <w:sz w:val="24"/>
          <w:szCs w:val="24"/>
        </w:rPr>
        <w:t>University Medical Center-Las Vegas</w:t>
      </w:r>
    </w:p>
    <w:p w14:paraId="37ED2760" w14:textId="16BB3FA7" w:rsidR="00C416A7" w:rsidRPr="008E6FA8" w:rsidRDefault="00C416A7" w:rsidP="00024B80">
      <w:pPr>
        <w:spacing w:after="0"/>
        <w:ind w:left="90"/>
        <w:rPr>
          <w:color w:val="000000" w:themeColor="text1"/>
          <w:sz w:val="24"/>
          <w:szCs w:val="24"/>
        </w:rPr>
      </w:pPr>
      <w:r w:rsidRPr="008E6FA8">
        <w:rPr>
          <w:color w:val="000000" w:themeColor="text1"/>
          <w:sz w:val="24"/>
          <w:szCs w:val="24"/>
        </w:rPr>
        <w:t>Valley Hospital Medical Center</w:t>
      </w:r>
    </w:p>
    <w:p w14:paraId="6FFAE18E" w14:textId="05D7BE4A" w:rsidR="00810E26" w:rsidRDefault="00C416A7" w:rsidP="00024B80">
      <w:pPr>
        <w:spacing w:after="0"/>
        <w:ind w:left="90"/>
        <w:rPr>
          <w:color w:val="000000" w:themeColor="text1"/>
          <w:sz w:val="24"/>
          <w:szCs w:val="24"/>
        </w:rPr>
      </w:pPr>
      <w:r w:rsidRPr="008E6FA8">
        <w:rPr>
          <w:color w:val="000000" w:themeColor="text1"/>
          <w:sz w:val="24"/>
          <w:szCs w:val="24"/>
        </w:rPr>
        <w:t>West Region Hospital</w:t>
      </w:r>
    </w:p>
    <w:bookmarkEnd w:id="2"/>
    <w:bookmarkEnd w:id="3"/>
    <w:p w14:paraId="065A3326" w14:textId="54CE2CFB" w:rsidR="007A5251" w:rsidRDefault="007A5251" w:rsidP="00C31A29">
      <w:pPr>
        <w:pStyle w:val="Heading1STD0"/>
        <w:spacing w:before="0" w:after="0" w:line="276" w:lineRule="auto"/>
        <w:rPr>
          <w:rFonts w:asciiTheme="minorHAnsi" w:hAnsiTheme="minorHAnsi" w:cstheme="minorHAnsi"/>
          <w:sz w:val="36"/>
          <w:szCs w:val="36"/>
        </w:rPr>
        <w:sectPr w:rsidR="007A5251" w:rsidSect="007A5251">
          <w:type w:val="continuous"/>
          <w:pgSz w:w="12240" w:h="15840"/>
          <w:pgMar w:top="720" w:right="720" w:bottom="720" w:left="720" w:header="720" w:footer="720" w:gutter="0"/>
          <w:pgNumType w:start="1"/>
          <w:cols w:num="2" w:space="720"/>
          <w:docGrid w:linePitch="360"/>
        </w:sectPr>
      </w:pPr>
    </w:p>
    <w:p w14:paraId="1E4C121B" w14:textId="77777777" w:rsidR="007A5251" w:rsidRPr="00C31A29" w:rsidRDefault="007A5251" w:rsidP="00C31A29">
      <w:pPr>
        <w:pStyle w:val="Heading1STD0"/>
        <w:spacing w:before="0" w:after="0"/>
        <w:rPr>
          <w:rFonts w:asciiTheme="minorHAnsi" w:hAnsiTheme="minorHAnsi" w:cstheme="minorHAnsi"/>
          <w:sz w:val="24"/>
          <w:szCs w:val="24"/>
        </w:rPr>
      </w:pPr>
    </w:p>
    <w:p w14:paraId="5562E83B" w14:textId="04A08CF4" w:rsidR="00964677" w:rsidRPr="004342A0" w:rsidRDefault="00BE47A6" w:rsidP="009259B0">
      <w:pPr>
        <w:pStyle w:val="Heading1STD0"/>
        <w:spacing w:before="0" w:after="120"/>
        <w:rPr>
          <w:rFonts w:asciiTheme="minorHAnsi" w:hAnsiTheme="minorHAnsi" w:cstheme="minorHAnsi"/>
          <w:sz w:val="36"/>
          <w:szCs w:val="36"/>
        </w:rPr>
      </w:pPr>
      <w:r w:rsidRPr="004342A0">
        <w:rPr>
          <w:rFonts w:asciiTheme="minorHAnsi" w:hAnsiTheme="minorHAnsi" w:cstheme="minorHAnsi"/>
          <w:sz w:val="36"/>
          <w:szCs w:val="36"/>
        </w:rPr>
        <w:t>Demographics</w:t>
      </w:r>
    </w:p>
    <w:p w14:paraId="6D4A73BE" w14:textId="2A7B8F05" w:rsidR="00A95BD8" w:rsidRDefault="006662F4" w:rsidP="00102D64">
      <w:pPr>
        <w:pStyle w:val="TextOPHIE"/>
        <w:spacing w:line="276" w:lineRule="auto"/>
        <w:jc w:val="both"/>
        <w:rPr>
          <w:rFonts w:asciiTheme="minorHAnsi" w:hAnsiTheme="minorHAnsi" w:cstheme="minorHAnsi"/>
          <w:sz w:val="24"/>
          <w:szCs w:val="22"/>
        </w:rPr>
      </w:pPr>
      <w:r>
        <w:rPr>
          <w:rFonts w:asciiTheme="minorHAnsi" w:hAnsiTheme="minorHAnsi" w:cstheme="minorHAnsi"/>
          <w:sz w:val="24"/>
          <w:szCs w:val="22"/>
        </w:rPr>
        <w:t xml:space="preserve">The Stroke Registry Report obtained de-identified patient data from the GWTG-S database. </w:t>
      </w:r>
    </w:p>
    <w:p w14:paraId="612A7BDF" w14:textId="77777777" w:rsidR="00102D64" w:rsidRPr="001D6A3E" w:rsidRDefault="00102D64" w:rsidP="00102D64">
      <w:pPr>
        <w:pStyle w:val="TextOPHIE"/>
        <w:spacing w:line="276" w:lineRule="auto"/>
        <w:jc w:val="both"/>
        <w:rPr>
          <w:rFonts w:asciiTheme="minorHAnsi" w:hAnsiTheme="minorHAnsi" w:cstheme="minorHAnsi"/>
          <w:sz w:val="20"/>
          <w:szCs w:val="18"/>
        </w:rPr>
      </w:pPr>
    </w:p>
    <w:p w14:paraId="4E740ACE" w14:textId="675F68C1" w:rsidR="00DF5ED5" w:rsidRDefault="00A95BD8" w:rsidP="00102D64">
      <w:pPr>
        <w:pStyle w:val="TextOPHIE"/>
        <w:spacing w:line="276" w:lineRule="auto"/>
        <w:jc w:val="both"/>
        <w:rPr>
          <w:rFonts w:asciiTheme="minorHAnsi" w:hAnsiTheme="minorHAnsi" w:cstheme="minorHAnsi"/>
          <w:sz w:val="24"/>
          <w:szCs w:val="22"/>
        </w:rPr>
      </w:pPr>
      <w:r>
        <w:rPr>
          <w:rFonts w:asciiTheme="minorHAnsi" w:hAnsiTheme="minorHAnsi" w:cstheme="minorHAnsi"/>
          <w:sz w:val="24"/>
          <w:szCs w:val="22"/>
        </w:rPr>
        <w:t>The</w:t>
      </w:r>
      <w:r w:rsidR="006662F4">
        <w:rPr>
          <w:rFonts w:asciiTheme="minorHAnsi" w:hAnsiTheme="minorHAnsi" w:cstheme="minorHAnsi"/>
          <w:sz w:val="24"/>
          <w:szCs w:val="22"/>
        </w:rPr>
        <w:t xml:space="preserve"> percentage of cerebrovascular events occurring in the reporting hospital. Ischemic Stroke</w:t>
      </w:r>
      <w:r w:rsidR="00135645">
        <w:rPr>
          <w:rFonts w:asciiTheme="minorHAnsi" w:hAnsiTheme="minorHAnsi" w:cstheme="minorHAnsi"/>
          <w:sz w:val="24"/>
          <w:szCs w:val="22"/>
        </w:rPr>
        <w:t>,</w:t>
      </w:r>
      <w:r w:rsidR="006662F4">
        <w:rPr>
          <w:rFonts w:asciiTheme="minorHAnsi" w:hAnsiTheme="minorHAnsi" w:cstheme="minorHAnsi"/>
          <w:sz w:val="24"/>
          <w:szCs w:val="22"/>
        </w:rPr>
        <w:t xml:space="preserve"> at 66.7 percent</w:t>
      </w:r>
      <w:r w:rsidR="00135645">
        <w:rPr>
          <w:rFonts w:asciiTheme="minorHAnsi" w:hAnsiTheme="minorHAnsi" w:cstheme="minorHAnsi"/>
          <w:sz w:val="24"/>
          <w:szCs w:val="22"/>
        </w:rPr>
        <w:t>,</w:t>
      </w:r>
      <w:r w:rsidR="006662F4">
        <w:rPr>
          <w:rFonts w:asciiTheme="minorHAnsi" w:hAnsiTheme="minorHAnsi" w:cstheme="minorHAnsi"/>
          <w:sz w:val="24"/>
          <w:szCs w:val="22"/>
        </w:rPr>
        <w:t xml:space="preserve"> was the highest subcategory</w:t>
      </w:r>
      <w:r w:rsidR="003E39AA">
        <w:rPr>
          <w:rFonts w:asciiTheme="minorHAnsi" w:hAnsiTheme="minorHAnsi" w:cstheme="minorHAnsi"/>
          <w:sz w:val="24"/>
          <w:szCs w:val="22"/>
        </w:rPr>
        <w:t xml:space="preserve"> followed by intracerebral hemorrhage at 14 </w:t>
      </w:r>
      <w:r w:rsidR="000C6D01">
        <w:rPr>
          <w:rFonts w:asciiTheme="minorHAnsi" w:hAnsiTheme="minorHAnsi" w:cstheme="minorHAnsi"/>
          <w:sz w:val="24"/>
          <w:szCs w:val="22"/>
        </w:rPr>
        <w:t>percent.</w:t>
      </w:r>
      <w:r w:rsidR="006662F4">
        <w:rPr>
          <w:rFonts w:asciiTheme="minorHAnsi" w:hAnsiTheme="minorHAnsi" w:cstheme="minorHAnsi"/>
          <w:sz w:val="24"/>
          <w:szCs w:val="22"/>
        </w:rPr>
        <w:t xml:space="preserve">  </w:t>
      </w:r>
    </w:p>
    <w:p w14:paraId="524290E0" w14:textId="77777777" w:rsidR="007A5251" w:rsidRPr="00EB70C1" w:rsidRDefault="007A5251" w:rsidP="00024B80">
      <w:pPr>
        <w:pStyle w:val="TextOPHIE"/>
        <w:jc w:val="both"/>
        <w:rPr>
          <w:rFonts w:asciiTheme="minorHAnsi" w:hAnsiTheme="minorHAnsi" w:cstheme="minorHAnsi"/>
          <w:sz w:val="24"/>
          <w:szCs w:val="22"/>
        </w:rPr>
      </w:pPr>
    </w:p>
    <w:p w14:paraId="2190D292" w14:textId="4840F12B" w:rsidR="00BB2E89" w:rsidRPr="008E6FA8" w:rsidRDefault="00BB2E89" w:rsidP="00070E53">
      <w:pPr>
        <w:pStyle w:val="TextOPHIE"/>
        <w:tabs>
          <w:tab w:val="left" w:pos="9660"/>
        </w:tabs>
        <w:spacing w:before="120" w:after="60" w:line="276" w:lineRule="auto"/>
        <w:rPr>
          <w:rFonts w:asciiTheme="minorHAnsi" w:hAnsiTheme="minorHAnsi" w:cstheme="minorHAnsi"/>
          <w:sz w:val="24"/>
        </w:rPr>
      </w:pPr>
      <w:bookmarkStart w:id="10" w:name="_Hlk39074376"/>
      <w:r w:rsidRPr="008E6FA8">
        <w:rPr>
          <w:rFonts w:asciiTheme="minorHAnsi" w:hAnsiTheme="minorHAnsi" w:cstheme="minorHAnsi"/>
          <w:b/>
          <w:bCs/>
          <w:sz w:val="24"/>
        </w:rPr>
        <w:t>Figure 7. Type of Stroke</w:t>
      </w:r>
      <w:r w:rsidR="00606D3E">
        <w:rPr>
          <w:rFonts w:asciiTheme="minorHAnsi" w:hAnsiTheme="minorHAnsi" w:cstheme="minorHAnsi"/>
          <w:b/>
          <w:bCs/>
          <w:sz w:val="24"/>
        </w:rPr>
        <w:t xml:space="preserve"> in Participating Hospitals</w:t>
      </w:r>
      <w:r w:rsidRPr="008E6FA8">
        <w:rPr>
          <w:rFonts w:asciiTheme="minorHAnsi" w:hAnsiTheme="minorHAnsi" w:cstheme="minorHAnsi"/>
          <w:b/>
          <w:bCs/>
          <w:sz w:val="24"/>
        </w:rPr>
        <w:t xml:space="preserve">, </w:t>
      </w:r>
      <w:r w:rsidR="00134855">
        <w:rPr>
          <w:rFonts w:asciiTheme="minorHAnsi" w:hAnsiTheme="minorHAnsi" w:cstheme="minorHAnsi"/>
          <w:b/>
          <w:bCs/>
          <w:sz w:val="24"/>
        </w:rPr>
        <w:t xml:space="preserve">2019 </w:t>
      </w:r>
      <w:r w:rsidR="00070E53">
        <w:rPr>
          <w:rFonts w:asciiTheme="minorHAnsi" w:hAnsiTheme="minorHAnsi" w:cstheme="minorHAnsi"/>
          <w:b/>
          <w:bCs/>
          <w:sz w:val="24"/>
        </w:rPr>
        <w:tab/>
      </w:r>
    </w:p>
    <w:bookmarkEnd w:id="10"/>
    <w:p w14:paraId="5A175B4C" w14:textId="0396788E" w:rsidR="00BC75D4" w:rsidRDefault="00A92664" w:rsidP="00616850">
      <w:pPr>
        <w:pStyle w:val="TextOPHIE"/>
        <w:spacing w:line="276" w:lineRule="auto"/>
        <w:rPr>
          <w:rFonts w:asciiTheme="minorHAnsi" w:hAnsiTheme="minorHAnsi" w:cstheme="minorHAnsi"/>
          <w:sz w:val="22"/>
          <w:szCs w:val="22"/>
        </w:rPr>
      </w:pPr>
      <w:r w:rsidRPr="008E6FA8">
        <w:rPr>
          <w:noProof/>
          <w:shd w:val="clear" w:color="auto" w:fill="70AD47"/>
        </w:rPr>
        <w:lastRenderedPageBreak/>
        <w:drawing>
          <wp:inline distT="0" distB="0" distL="0" distR="0" wp14:anchorId="3E9B89B2" wp14:editId="4402DCD0">
            <wp:extent cx="6638925" cy="1901825"/>
            <wp:effectExtent l="0" t="0" r="9525" b="3175"/>
            <wp:docPr id="46" name="Chart 46">
              <a:extLst xmlns:a="http://schemas.openxmlformats.org/drawingml/2006/main">
                <a:ext uri="{FF2B5EF4-FFF2-40B4-BE49-F238E27FC236}">
                  <a16:creationId xmlns:a16="http://schemas.microsoft.com/office/drawing/2014/main" id="{668505BA-6648-4B16-8DAD-F911AA6611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83AA580" w14:textId="56A3F40D" w:rsidR="00D84937" w:rsidRDefault="00D84937" w:rsidP="00616850">
      <w:pPr>
        <w:spacing w:before="60" w:after="0"/>
        <w:rPr>
          <w:rFonts w:cstheme="minorHAnsi"/>
          <w:sz w:val="16"/>
          <w:szCs w:val="16"/>
        </w:rPr>
      </w:pPr>
      <w:r w:rsidRPr="00044541">
        <w:rPr>
          <w:rFonts w:cstheme="minorHAnsi"/>
          <w:b/>
          <w:bCs/>
          <w:sz w:val="16"/>
          <w:szCs w:val="16"/>
        </w:rPr>
        <w:t xml:space="preserve">Source: </w:t>
      </w:r>
      <w:r>
        <w:rPr>
          <w:rFonts w:cstheme="minorHAnsi"/>
          <w:sz w:val="16"/>
          <w:szCs w:val="16"/>
        </w:rPr>
        <w:t xml:space="preserve">American Stroke Association. </w:t>
      </w:r>
      <w:r w:rsidRPr="008E6FA8">
        <w:rPr>
          <w:rFonts w:cstheme="minorHAnsi"/>
          <w:i/>
          <w:iCs/>
          <w:sz w:val="16"/>
          <w:szCs w:val="16"/>
        </w:rPr>
        <w:t xml:space="preserve">Get </w:t>
      </w:r>
      <w:proofErr w:type="gramStart"/>
      <w:r w:rsidRPr="008E6FA8">
        <w:rPr>
          <w:rFonts w:cstheme="minorHAnsi"/>
          <w:i/>
          <w:iCs/>
          <w:sz w:val="16"/>
          <w:szCs w:val="16"/>
        </w:rPr>
        <w:t>With</w:t>
      </w:r>
      <w:proofErr w:type="gramEnd"/>
      <w:r w:rsidRPr="008E6FA8">
        <w:rPr>
          <w:rFonts w:cstheme="minorHAnsi"/>
          <w:i/>
          <w:iCs/>
          <w:sz w:val="16"/>
          <w:szCs w:val="16"/>
        </w:rPr>
        <w:t xml:space="preserve"> The Guidelines</w:t>
      </w:r>
      <w:r>
        <w:rPr>
          <w:rFonts w:cstheme="minorHAnsi"/>
          <w:i/>
          <w:iCs/>
          <w:sz w:val="16"/>
          <w:szCs w:val="16"/>
        </w:rPr>
        <w:t xml:space="preserve"> - Stroke</w:t>
      </w:r>
      <w:r w:rsidRPr="008E6FA8">
        <w:rPr>
          <w:rFonts w:cstheme="minorHAnsi"/>
          <w:i/>
          <w:iCs/>
          <w:sz w:val="16"/>
          <w:szCs w:val="16"/>
        </w:rPr>
        <w:t xml:space="preserve"> Data</w:t>
      </w:r>
      <w:r>
        <w:rPr>
          <w:rFonts w:cstheme="minorHAnsi"/>
          <w:i/>
          <w:iCs/>
          <w:sz w:val="16"/>
          <w:szCs w:val="16"/>
        </w:rPr>
        <w:t xml:space="preserve"> Registry</w:t>
      </w:r>
      <w:r w:rsidRPr="008E6FA8">
        <w:rPr>
          <w:rFonts w:cstheme="minorHAnsi"/>
          <w:i/>
          <w:iCs/>
          <w:sz w:val="16"/>
          <w:szCs w:val="16"/>
        </w:rPr>
        <w:t xml:space="preserve"> System</w:t>
      </w:r>
      <w:r>
        <w:rPr>
          <w:rFonts w:cstheme="minorHAnsi"/>
          <w:sz w:val="16"/>
          <w:szCs w:val="16"/>
        </w:rPr>
        <w:t xml:space="preserve">. </w:t>
      </w:r>
      <w:r w:rsidRPr="00044541">
        <w:rPr>
          <w:rFonts w:cstheme="minorHAnsi"/>
          <w:sz w:val="16"/>
          <w:szCs w:val="16"/>
        </w:rPr>
        <w:t>Atlanta, Georgia: U.S. Department of Health and Human Services, Centers for Disease Control and Prevention, 201</w:t>
      </w:r>
      <w:r w:rsidR="00A9246F">
        <w:rPr>
          <w:rFonts w:cstheme="minorHAnsi"/>
          <w:sz w:val="16"/>
          <w:szCs w:val="16"/>
        </w:rPr>
        <w:t>9</w:t>
      </w:r>
      <w:r w:rsidRPr="00044541">
        <w:rPr>
          <w:rFonts w:cstheme="minorHAnsi"/>
          <w:sz w:val="16"/>
          <w:szCs w:val="16"/>
        </w:rPr>
        <w:t>.</w:t>
      </w:r>
    </w:p>
    <w:p w14:paraId="5B0BB642" w14:textId="1CEBD5AD" w:rsidR="00134855" w:rsidRPr="001D6A3E" w:rsidRDefault="00134855" w:rsidP="00C22EB3">
      <w:pPr>
        <w:pStyle w:val="TextOPHIE"/>
        <w:spacing w:line="276" w:lineRule="auto"/>
        <w:rPr>
          <w:rFonts w:asciiTheme="minorHAnsi" w:hAnsiTheme="minorHAnsi" w:cstheme="minorHAnsi"/>
          <w:sz w:val="20"/>
          <w:szCs w:val="20"/>
        </w:rPr>
      </w:pPr>
    </w:p>
    <w:p w14:paraId="5A04E439" w14:textId="0B7C5AA8" w:rsidR="00C65CF0" w:rsidRPr="004342A0" w:rsidRDefault="00F80000" w:rsidP="00C22EB3">
      <w:pPr>
        <w:pStyle w:val="Heading1STD0"/>
        <w:spacing w:before="0" w:after="0"/>
        <w:rPr>
          <w:rFonts w:asciiTheme="minorHAnsi" w:hAnsiTheme="minorHAnsi" w:cstheme="minorHAnsi"/>
          <w:sz w:val="36"/>
          <w:szCs w:val="36"/>
        </w:rPr>
      </w:pPr>
      <w:r w:rsidRPr="004342A0">
        <w:rPr>
          <w:rFonts w:asciiTheme="minorHAnsi" w:hAnsiTheme="minorHAnsi" w:cstheme="minorHAnsi"/>
          <w:sz w:val="36"/>
          <w:szCs w:val="36"/>
        </w:rPr>
        <w:t xml:space="preserve">Demographics - </w:t>
      </w:r>
      <w:r w:rsidR="00C65CF0" w:rsidRPr="004342A0">
        <w:rPr>
          <w:rFonts w:asciiTheme="minorHAnsi" w:hAnsiTheme="minorHAnsi" w:cstheme="minorHAnsi"/>
          <w:sz w:val="36"/>
          <w:szCs w:val="36"/>
        </w:rPr>
        <w:t>Who is Affected?</w:t>
      </w:r>
    </w:p>
    <w:p w14:paraId="6024F8DC" w14:textId="77777777" w:rsidR="00135645" w:rsidRDefault="0048508D" w:rsidP="00C22EB3">
      <w:pPr>
        <w:pStyle w:val="TextOPHIE"/>
        <w:spacing w:line="276" w:lineRule="auto"/>
        <w:jc w:val="both"/>
        <w:rPr>
          <w:rFonts w:asciiTheme="minorHAnsi" w:hAnsiTheme="minorHAnsi" w:cstheme="minorHAnsi"/>
          <w:sz w:val="24"/>
        </w:rPr>
      </w:pPr>
      <w:r w:rsidRPr="008E6FA8">
        <w:rPr>
          <w:rFonts w:asciiTheme="minorHAnsi" w:hAnsiTheme="minorHAnsi" w:cstheme="minorHAnsi"/>
          <w:sz w:val="24"/>
        </w:rPr>
        <w:t xml:space="preserve">The Nevada Stroke Registry provides </w:t>
      </w:r>
      <w:r w:rsidR="006678F1">
        <w:rPr>
          <w:rFonts w:asciiTheme="minorHAnsi" w:hAnsiTheme="minorHAnsi" w:cstheme="minorHAnsi"/>
          <w:sz w:val="24"/>
        </w:rPr>
        <w:t xml:space="preserve">stroke </w:t>
      </w:r>
      <w:r w:rsidRPr="008E6FA8">
        <w:rPr>
          <w:rFonts w:asciiTheme="minorHAnsi" w:hAnsiTheme="minorHAnsi" w:cstheme="minorHAnsi"/>
          <w:sz w:val="24"/>
        </w:rPr>
        <w:t xml:space="preserve">information as it relates to </w:t>
      </w:r>
      <w:r w:rsidR="003E39AA">
        <w:rPr>
          <w:rFonts w:asciiTheme="minorHAnsi" w:hAnsiTheme="minorHAnsi" w:cstheme="minorHAnsi"/>
          <w:sz w:val="24"/>
        </w:rPr>
        <w:t xml:space="preserve">age and </w:t>
      </w:r>
      <w:r w:rsidRPr="008E6FA8">
        <w:rPr>
          <w:rFonts w:asciiTheme="minorHAnsi" w:hAnsiTheme="minorHAnsi" w:cstheme="minorHAnsi"/>
          <w:sz w:val="24"/>
        </w:rPr>
        <w:t>gender group</w:t>
      </w:r>
      <w:r w:rsidR="003E39AA">
        <w:rPr>
          <w:rFonts w:asciiTheme="minorHAnsi" w:hAnsiTheme="minorHAnsi" w:cstheme="minorHAnsi"/>
          <w:sz w:val="24"/>
        </w:rPr>
        <w:t>.</w:t>
      </w:r>
      <w:r w:rsidR="00E26603">
        <w:rPr>
          <w:rFonts w:asciiTheme="minorHAnsi" w:hAnsiTheme="minorHAnsi" w:cstheme="minorHAnsi"/>
          <w:sz w:val="24"/>
        </w:rPr>
        <w:t xml:space="preserve"> </w:t>
      </w:r>
    </w:p>
    <w:p w14:paraId="17A8F2E0" w14:textId="77777777" w:rsidR="00135645" w:rsidRPr="001D6A3E" w:rsidRDefault="00135645" w:rsidP="00C22EB3">
      <w:pPr>
        <w:pStyle w:val="TextOPHIE"/>
        <w:spacing w:line="276" w:lineRule="auto"/>
        <w:jc w:val="both"/>
        <w:rPr>
          <w:rFonts w:asciiTheme="minorHAnsi" w:hAnsiTheme="minorHAnsi" w:cstheme="minorHAnsi"/>
          <w:sz w:val="20"/>
          <w:szCs w:val="20"/>
        </w:rPr>
      </w:pPr>
    </w:p>
    <w:p w14:paraId="07011C43" w14:textId="77777777" w:rsidR="00893E83" w:rsidRDefault="00893E83" w:rsidP="00C22EB3">
      <w:pPr>
        <w:pStyle w:val="TextOPHIE"/>
        <w:spacing w:line="276" w:lineRule="auto"/>
        <w:jc w:val="both"/>
        <w:rPr>
          <w:rFonts w:asciiTheme="minorHAnsi" w:hAnsiTheme="minorHAnsi" w:cstheme="minorHAnsi"/>
          <w:sz w:val="24"/>
        </w:rPr>
      </w:pPr>
      <w:bookmarkStart w:id="11" w:name="_Hlk39074386"/>
      <w:r>
        <w:rPr>
          <w:rFonts w:asciiTheme="minorHAnsi" w:hAnsiTheme="minorHAnsi" w:cstheme="minorHAnsi"/>
          <w:sz w:val="24"/>
        </w:rPr>
        <w:t>In Figures Eight through Ten, the crude rate is calculated by dividing the total number of cases in a specific time by the total state population.</w:t>
      </w:r>
    </w:p>
    <w:p w14:paraId="50A5D8CE" w14:textId="77777777" w:rsidR="00893E83" w:rsidRPr="001D6A3E" w:rsidRDefault="00893E83" w:rsidP="00C22EB3">
      <w:pPr>
        <w:pStyle w:val="TextOPHIE"/>
        <w:spacing w:line="276" w:lineRule="auto"/>
        <w:jc w:val="both"/>
        <w:rPr>
          <w:rFonts w:asciiTheme="minorHAnsi" w:hAnsiTheme="minorHAnsi" w:cstheme="minorHAnsi"/>
          <w:sz w:val="20"/>
          <w:szCs w:val="20"/>
        </w:rPr>
      </w:pPr>
    </w:p>
    <w:p w14:paraId="057B45F5" w14:textId="554C9275" w:rsidR="00893E83" w:rsidRDefault="00893E83" w:rsidP="00893E83">
      <w:pPr>
        <w:pStyle w:val="TextOPHIE"/>
        <w:spacing w:line="276" w:lineRule="auto"/>
        <w:jc w:val="both"/>
        <w:rPr>
          <w:rFonts w:asciiTheme="minorHAnsi" w:hAnsiTheme="minorHAnsi" w:cstheme="minorHAnsi"/>
          <w:sz w:val="24"/>
        </w:rPr>
      </w:pPr>
      <w:r w:rsidRPr="007F423F">
        <w:rPr>
          <w:rFonts w:asciiTheme="minorHAnsi" w:hAnsiTheme="minorHAnsi" w:cstheme="minorHAnsi"/>
          <w:sz w:val="24"/>
        </w:rPr>
        <w:t xml:space="preserve">In </w:t>
      </w:r>
      <w:r>
        <w:rPr>
          <w:rFonts w:asciiTheme="minorHAnsi" w:hAnsiTheme="minorHAnsi" w:cstheme="minorHAnsi"/>
          <w:sz w:val="24"/>
        </w:rPr>
        <w:t>F</w:t>
      </w:r>
      <w:r w:rsidRPr="007F423F">
        <w:rPr>
          <w:rFonts w:asciiTheme="minorHAnsi" w:hAnsiTheme="minorHAnsi" w:cstheme="minorHAnsi"/>
          <w:sz w:val="24"/>
        </w:rPr>
        <w:t xml:space="preserve">igure </w:t>
      </w:r>
      <w:r>
        <w:rPr>
          <w:rFonts w:asciiTheme="minorHAnsi" w:hAnsiTheme="minorHAnsi" w:cstheme="minorHAnsi"/>
          <w:sz w:val="24"/>
        </w:rPr>
        <w:t>Eight</w:t>
      </w:r>
      <w:r w:rsidRPr="007F423F">
        <w:rPr>
          <w:rFonts w:asciiTheme="minorHAnsi" w:hAnsiTheme="minorHAnsi" w:cstheme="minorHAnsi"/>
          <w:sz w:val="24"/>
        </w:rPr>
        <w:t xml:space="preserve">, </w:t>
      </w:r>
      <w:r>
        <w:rPr>
          <w:rFonts w:asciiTheme="minorHAnsi" w:hAnsiTheme="minorHAnsi" w:cstheme="minorHAnsi"/>
          <w:sz w:val="24"/>
        </w:rPr>
        <w:t xml:space="preserve">stroke by gender indicates </w:t>
      </w:r>
      <w:r w:rsidRPr="007F423F">
        <w:rPr>
          <w:rFonts w:asciiTheme="minorHAnsi" w:hAnsiTheme="minorHAnsi" w:cstheme="minorHAnsi"/>
          <w:sz w:val="24"/>
        </w:rPr>
        <w:t>the female population had a higher rate of stroke compared to the male population</w:t>
      </w:r>
      <w:r>
        <w:rPr>
          <w:rFonts w:asciiTheme="minorHAnsi" w:hAnsiTheme="minorHAnsi" w:cstheme="minorHAnsi"/>
          <w:sz w:val="24"/>
        </w:rPr>
        <w:t>.</w:t>
      </w:r>
    </w:p>
    <w:p w14:paraId="759B6E70" w14:textId="77777777" w:rsidR="00C22EB3" w:rsidRPr="003269BC" w:rsidRDefault="00C22EB3" w:rsidP="00893E83">
      <w:pPr>
        <w:pStyle w:val="TextOPHIE"/>
        <w:spacing w:line="276" w:lineRule="auto"/>
        <w:jc w:val="both"/>
        <w:rPr>
          <w:rFonts w:asciiTheme="minorHAnsi" w:hAnsiTheme="minorHAnsi" w:cstheme="minorHAnsi"/>
          <w:sz w:val="24"/>
        </w:rPr>
      </w:pPr>
    </w:p>
    <w:p w14:paraId="005155FD" w14:textId="75DAFF1D" w:rsidR="00C65CF0" w:rsidRPr="00EB70C1" w:rsidRDefault="00BE396E" w:rsidP="00024B80">
      <w:pPr>
        <w:pStyle w:val="TextOPHIE"/>
        <w:spacing w:before="120" w:after="60" w:line="276" w:lineRule="auto"/>
        <w:rPr>
          <w:rFonts w:asciiTheme="minorHAnsi" w:hAnsiTheme="minorHAnsi" w:cstheme="minorHAnsi"/>
        </w:rPr>
      </w:pPr>
      <w:r w:rsidRPr="008E6FA8">
        <w:rPr>
          <w:rFonts w:asciiTheme="minorHAnsi" w:hAnsiTheme="minorHAnsi" w:cstheme="minorHAnsi"/>
          <w:b/>
          <w:bCs/>
          <w:sz w:val="24"/>
        </w:rPr>
        <w:t xml:space="preserve">Figure 8. Stroke </w:t>
      </w:r>
      <w:r w:rsidR="00D73235">
        <w:rPr>
          <w:rFonts w:asciiTheme="minorHAnsi" w:hAnsiTheme="minorHAnsi" w:cstheme="minorHAnsi"/>
          <w:b/>
          <w:bCs/>
          <w:sz w:val="24"/>
        </w:rPr>
        <w:t>b</w:t>
      </w:r>
      <w:r w:rsidRPr="008E6FA8">
        <w:rPr>
          <w:rFonts w:asciiTheme="minorHAnsi" w:hAnsiTheme="minorHAnsi" w:cstheme="minorHAnsi"/>
          <w:b/>
          <w:bCs/>
          <w:sz w:val="24"/>
        </w:rPr>
        <w:t xml:space="preserve">y Gender, Crude Rates, </w:t>
      </w:r>
      <w:r w:rsidR="00A23775">
        <w:rPr>
          <w:rFonts w:asciiTheme="minorHAnsi" w:hAnsiTheme="minorHAnsi" w:cstheme="minorHAnsi"/>
          <w:b/>
          <w:bCs/>
          <w:sz w:val="24"/>
        </w:rPr>
        <w:t>2014 – 2019</w:t>
      </w:r>
      <w:bookmarkEnd w:id="11"/>
    </w:p>
    <w:p w14:paraId="1C6AE719" w14:textId="7D3FB792" w:rsidR="00CA11EE" w:rsidRPr="00EB70C1" w:rsidRDefault="00A75D93" w:rsidP="00616850">
      <w:pPr>
        <w:pStyle w:val="TextOPHIE"/>
        <w:spacing w:line="276" w:lineRule="auto"/>
        <w:rPr>
          <w:rFonts w:asciiTheme="minorHAnsi" w:hAnsiTheme="minorHAnsi" w:cstheme="minorHAnsi"/>
          <w:sz w:val="22"/>
          <w:szCs w:val="22"/>
        </w:rPr>
      </w:pPr>
      <w:r w:rsidRPr="008E6FA8">
        <w:rPr>
          <w:noProof/>
          <w:shd w:val="clear" w:color="auto" w:fill="70AD47"/>
        </w:rPr>
        <w:drawing>
          <wp:inline distT="0" distB="0" distL="0" distR="0" wp14:anchorId="69F920D4" wp14:editId="60FF0CF1">
            <wp:extent cx="6839585" cy="1866900"/>
            <wp:effectExtent l="0" t="0" r="18415" b="0"/>
            <wp:docPr id="30" name="Chart 30">
              <a:extLst xmlns:a="http://schemas.openxmlformats.org/drawingml/2006/main">
                <a:ext uri="{FF2B5EF4-FFF2-40B4-BE49-F238E27FC236}">
                  <a16:creationId xmlns:a16="http://schemas.microsoft.com/office/drawing/2014/main" id="{06A12E06-ED43-4306-9950-F477566595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E6D819F" w14:textId="5378CF52" w:rsidR="009903F8" w:rsidRDefault="009903F8" w:rsidP="00616850">
      <w:pPr>
        <w:spacing w:before="60" w:after="0"/>
        <w:rPr>
          <w:rFonts w:cstheme="minorHAnsi"/>
          <w:sz w:val="16"/>
          <w:szCs w:val="16"/>
        </w:rPr>
      </w:pPr>
      <w:r w:rsidRPr="00044541">
        <w:rPr>
          <w:rFonts w:cstheme="minorHAnsi"/>
          <w:b/>
          <w:bCs/>
          <w:sz w:val="16"/>
          <w:szCs w:val="16"/>
        </w:rPr>
        <w:t xml:space="preserve">Source: </w:t>
      </w:r>
      <w:r>
        <w:rPr>
          <w:rFonts w:cstheme="minorHAnsi"/>
          <w:sz w:val="16"/>
          <w:szCs w:val="16"/>
        </w:rPr>
        <w:t xml:space="preserve">American Stroke Association. </w:t>
      </w:r>
      <w:r w:rsidRPr="008E6FA8">
        <w:rPr>
          <w:rFonts w:cstheme="minorHAnsi"/>
          <w:i/>
          <w:iCs/>
          <w:sz w:val="16"/>
          <w:szCs w:val="16"/>
        </w:rPr>
        <w:t xml:space="preserve">Get </w:t>
      </w:r>
      <w:proofErr w:type="gramStart"/>
      <w:r w:rsidRPr="008E6FA8">
        <w:rPr>
          <w:rFonts w:cstheme="minorHAnsi"/>
          <w:i/>
          <w:iCs/>
          <w:sz w:val="16"/>
          <w:szCs w:val="16"/>
        </w:rPr>
        <w:t>With</w:t>
      </w:r>
      <w:proofErr w:type="gramEnd"/>
      <w:r w:rsidRPr="008E6FA8">
        <w:rPr>
          <w:rFonts w:cstheme="minorHAnsi"/>
          <w:i/>
          <w:iCs/>
          <w:sz w:val="16"/>
          <w:szCs w:val="16"/>
        </w:rPr>
        <w:t xml:space="preserve"> The Guidelines</w:t>
      </w:r>
      <w:r>
        <w:rPr>
          <w:rFonts w:cstheme="minorHAnsi"/>
          <w:i/>
          <w:iCs/>
          <w:sz w:val="16"/>
          <w:szCs w:val="16"/>
        </w:rPr>
        <w:t xml:space="preserve"> </w:t>
      </w:r>
      <w:r w:rsidR="00C22EB3">
        <w:rPr>
          <w:rFonts w:cstheme="minorHAnsi"/>
          <w:i/>
          <w:iCs/>
          <w:sz w:val="16"/>
          <w:szCs w:val="16"/>
        </w:rPr>
        <w:t>–</w:t>
      </w:r>
      <w:r>
        <w:rPr>
          <w:rFonts w:cstheme="minorHAnsi"/>
          <w:i/>
          <w:iCs/>
          <w:sz w:val="16"/>
          <w:szCs w:val="16"/>
        </w:rPr>
        <w:t xml:space="preserve"> Stroke</w:t>
      </w:r>
      <w:r w:rsidRPr="008E6FA8">
        <w:rPr>
          <w:rFonts w:cstheme="minorHAnsi"/>
          <w:i/>
          <w:iCs/>
          <w:sz w:val="16"/>
          <w:szCs w:val="16"/>
        </w:rPr>
        <w:t xml:space="preserve"> Data</w:t>
      </w:r>
      <w:r>
        <w:rPr>
          <w:rFonts w:cstheme="minorHAnsi"/>
          <w:i/>
          <w:iCs/>
          <w:sz w:val="16"/>
          <w:szCs w:val="16"/>
        </w:rPr>
        <w:t xml:space="preserve"> Registry</w:t>
      </w:r>
      <w:r w:rsidRPr="008E6FA8">
        <w:rPr>
          <w:rFonts w:cstheme="minorHAnsi"/>
          <w:i/>
          <w:iCs/>
          <w:sz w:val="16"/>
          <w:szCs w:val="16"/>
        </w:rPr>
        <w:t xml:space="preserve"> System</w:t>
      </w:r>
      <w:r>
        <w:rPr>
          <w:rFonts w:cstheme="minorHAnsi"/>
          <w:sz w:val="16"/>
          <w:szCs w:val="16"/>
        </w:rPr>
        <w:t xml:space="preserve">. </w:t>
      </w:r>
      <w:r w:rsidRPr="00044541">
        <w:rPr>
          <w:rFonts w:cstheme="minorHAnsi"/>
          <w:sz w:val="16"/>
          <w:szCs w:val="16"/>
        </w:rPr>
        <w:t>Atlanta, Georgia: U.S. Department of Health and Human Services, Centers for Disease Control and Prevention, 201</w:t>
      </w:r>
      <w:r w:rsidR="00A9246F">
        <w:rPr>
          <w:rFonts w:cstheme="minorHAnsi"/>
          <w:sz w:val="16"/>
          <w:szCs w:val="16"/>
        </w:rPr>
        <w:t>9</w:t>
      </w:r>
      <w:r w:rsidRPr="00044541">
        <w:rPr>
          <w:rFonts w:cstheme="minorHAnsi"/>
          <w:sz w:val="16"/>
          <w:szCs w:val="16"/>
        </w:rPr>
        <w:t>.</w:t>
      </w:r>
    </w:p>
    <w:p w14:paraId="65927549" w14:textId="77777777" w:rsidR="00616850" w:rsidRPr="00024B80" w:rsidRDefault="00616850" w:rsidP="00616850">
      <w:pPr>
        <w:spacing w:before="60" w:after="0"/>
        <w:rPr>
          <w:rFonts w:cstheme="minorHAnsi"/>
          <w:sz w:val="24"/>
          <w:szCs w:val="24"/>
        </w:rPr>
      </w:pPr>
    </w:p>
    <w:p w14:paraId="21F464C3" w14:textId="77777777" w:rsidR="00893E83" w:rsidRPr="003720D8" w:rsidRDefault="00893E83" w:rsidP="00C22EB3">
      <w:pPr>
        <w:pStyle w:val="TextOPHIE"/>
        <w:spacing w:line="276" w:lineRule="auto"/>
        <w:jc w:val="both"/>
        <w:rPr>
          <w:rFonts w:asciiTheme="minorHAnsi" w:hAnsiTheme="minorHAnsi" w:cstheme="minorHAnsi"/>
          <w:sz w:val="24"/>
        </w:rPr>
      </w:pPr>
      <w:r>
        <w:rPr>
          <w:rFonts w:asciiTheme="minorHAnsi" w:hAnsiTheme="minorHAnsi" w:cstheme="minorHAnsi"/>
          <w:sz w:val="24"/>
          <w:szCs w:val="22"/>
        </w:rPr>
        <w:t>T</w:t>
      </w:r>
      <w:r w:rsidRPr="00EB70C1">
        <w:rPr>
          <w:rFonts w:asciiTheme="minorHAnsi" w:hAnsiTheme="minorHAnsi" w:cstheme="minorHAnsi"/>
          <w:sz w:val="24"/>
          <w:szCs w:val="22"/>
        </w:rPr>
        <w:t>he distribution of stroke by age group</w:t>
      </w:r>
      <w:r>
        <w:rPr>
          <w:rFonts w:asciiTheme="minorHAnsi" w:hAnsiTheme="minorHAnsi" w:cstheme="minorHAnsi"/>
          <w:sz w:val="24"/>
          <w:szCs w:val="22"/>
        </w:rPr>
        <w:t xml:space="preserve"> (Figure Nine) indicates</w:t>
      </w:r>
      <w:r w:rsidRPr="00EB70C1">
        <w:rPr>
          <w:rFonts w:asciiTheme="minorHAnsi" w:hAnsiTheme="minorHAnsi" w:cstheme="minorHAnsi"/>
          <w:sz w:val="24"/>
          <w:szCs w:val="22"/>
        </w:rPr>
        <w:t xml:space="preserve"> individuals 85 years and older (1,4</w:t>
      </w:r>
      <w:r>
        <w:rPr>
          <w:rFonts w:asciiTheme="minorHAnsi" w:hAnsiTheme="minorHAnsi" w:cstheme="minorHAnsi"/>
          <w:sz w:val="24"/>
          <w:szCs w:val="22"/>
        </w:rPr>
        <w:t>87</w:t>
      </w:r>
      <w:r w:rsidRPr="00EB70C1">
        <w:rPr>
          <w:rFonts w:asciiTheme="minorHAnsi" w:hAnsiTheme="minorHAnsi" w:cstheme="minorHAnsi"/>
          <w:sz w:val="24"/>
          <w:szCs w:val="22"/>
        </w:rPr>
        <w:t xml:space="preserve"> per 100,000 population) experienced the highest rate of stroke</w:t>
      </w:r>
      <w:r>
        <w:rPr>
          <w:rFonts w:asciiTheme="minorHAnsi" w:hAnsiTheme="minorHAnsi" w:cstheme="minorHAnsi"/>
          <w:sz w:val="24"/>
          <w:szCs w:val="22"/>
        </w:rPr>
        <w:t xml:space="preserve"> and burden of stroke</w:t>
      </w:r>
      <w:r w:rsidRPr="00EB70C1">
        <w:rPr>
          <w:rFonts w:asciiTheme="minorHAnsi" w:hAnsiTheme="minorHAnsi" w:cstheme="minorHAnsi"/>
          <w:sz w:val="24"/>
          <w:szCs w:val="22"/>
        </w:rPr>
        <w:t xml:space="preserve"> compared to all other age groups</w:t>
      </w:r>
      <w:r w:rsidRPr="008E6FA8">
        <w:rPr>
          <w:rFonts w:asciiTheme="minorHAnsi" w:hAnsiTheme="minorHAnsi" w:cstheme="minorHAnsi"/>
          <w:sz w:val="24"/>
        </w:rPr>
        <w:t xml:space="preserve">. </w:t>
      </w:r>
    </w:p>
    <w:p w14:paraId="6DA6ECFE" w14:textId="57D1D63C" w:rsidR="007A5251" w:rsidRDefault="007A5251" w:rsidP="00C22EB3">
      <w:pPr>
        <w:pStyle w:val="TextOPHIE"/>
        <w:spacing w:line="276" w:lineRule="auto"/>
        <w:rPr>
          <w:rFonts w:asciiTheme="minorHAnsi" w:hAnsiTheme="minorHAnsi" w:cstheme="minorHAnsi"/>
          <w:b/>
          <w:bCs/>
          <w:sz w:val="24"/>
        </w:rPr>
      </w:pPr>
    </w:p>
    <w:p w14:paraId="2814ADFD" w14:textId="5CB651AE" w:rsidR="00C22EB3" w:rsidRDefault="00C22EB3" w:rsidP="00C22EB3">
      <w:pPr>
        <w:pStyle w:val="TextOPHIE"/>
        <w:spacing w:line="276" w:lineRule="auto"/>
        <w:rPr>
          <w:rFonts w:asciiTheme="minorHAnsi" w:hAnsiTheme="minorHAnsi" w:cstheme="minorHAnsi"/>
          <w:b/>
          <w:bCs/>
          <w:sz w:val="24"/>
        </w:rPr>
      </w:pPr>
    </w:p>
    <w:p w14:paraId="596878B2" w14:textId="17EB2181" w:rsidR="00C22EB3" w:rsidRDefault="00C22EB3" w:rsidP="00C22EB3">
      <w:pPr>
        <w:pStyle w:val="TextOPHIE"/>
        <w:spacing w:line="276" w:lineRule="auto"/>
        <w:rPr>
          <w:rFonts w:asciiTheme="minorHAnsi" w:hAnsiTheme="minorHAnsi" w:cstheme="minorHAnsi"/>
          <w:b/>
          <w:bCs/>
          <w:sz w:val="24"/>
        </w:rPr>
      </w:pPr>
    </w:p>
    <w:p w14:paraId="3271075D" w14:textId="353448C9" w:rsidR="00C22EB3" w:rsidRDefault="00C22EB3" w:rsidP="00C22EB3">
      <w:pPr>
        <w:pStyle w:val="TextOPHIE"/>
        <w:spacing w:line="276" w:lineRule="auto"/>
        <w:rPr>
          <w:rFonts w:asciiTheme="minorHAnsi" w:hAnsiTheme="minorHAnsi" w:cstheme="minorHAnsi"/>
          <w:b/>
          <w:bCs/>
          <w:sz w:val="24"/>
        </w:rPr>
      </w:pPr>
    </w:p>
    <w:p w14:paraId="31D9243B" w14:textId="724FC3C5" w:rsidR="00C22EB3" w:rsidRDefault="00C22EB3" w:rsidP="00C22EB3">
      <w:pPr>
        <w:pStyle w:val="TextOPHIE"/>
        <w:spacing w:line="276" w:lineRule="auto"/>
        <w:rPr>
          <w:rFonts w:asciiTheme="minorHAnsi" w:hAnsiTheme="minorHAnsi" w:cstheme="minorHAnsi"/>
          <w:b/>
          <w:bCs/>
          <w:sz w:val="24"/>
        </w:rPr>
      </w:pPr>
    </w:p>
    <w:p w14:paraId="791662AF" w14:textId="6AD4D92B" w:rsidR="00C22EB3" w:rsidRDefault="00C22EB3" w:rsidP="00C22EB3">
      <w:pPr>
        <w:pStyle w:val="TextOPHIE"/>
        <w:spacing w:line="276" w:lineRule="auto"/>
        <w:rPr>
          <w:rFonts w:asciiTheme="minorHAnsi" w:hAnsiTheme="minorHAnsi" w:cstheme="minorHAnsi"/>
          <w:b/>
          <w:bCs/>
          <w:sz w:val="24"/>
        </w:rPr>
      </w:pPr>
    </w:p>
    <w:p w14:paraId="029C41BB" w14:textId="4C5E8882" w:rsidR="00C22EB3" w:rsidRDefault="00C22EB3" w:rsidP="00C22EB3">
      <w:pPr>
        <w:pStyle w:val="TextOPHIE"/>
        <w:spacing w:line="276" w:lineRule="auto"/>
        <w:rPr>
          <w:rFonts w:asciiTheme="minorHAnsi" w:hAnsiTheme="minorHAnsi" w:cstheme="minorHAnsi"/>
          <w:b/>
          <w:bCs/>
          <w:sz w:val="24"/>
        </w:rPr>
      </w:pPr>
    </w:p>
    <w:p w14:paraId="61A7C9A7" w14:textId="77777777" w:rsidR="00C22EB3" w:rsidRDefault="00C22EB3" w:rsidP="00C22EB3">
      <w:pPr>
        <w:pStyle w:val="TextOPHIE"/>
        <w:spacing w:line="276" w:lineRule="auto"/>
        <w:rPr>
          <w:rFonts w:asciiTheme="minorHAnsi" w:hAnsiTheme="minorHAnsi" w:cstheme="minorHAnsi"/>
          <w:b/>
          <w:bCs/>
          <w:sz w:val="24"/>
        </w:rPr>
      </w:pPr>
    </w:p>
    <w:p w14:paraId="7EE67D23" w14:textId="6E8DAED9" w:rsidR="00B34636" w:rsidRPr="00C22EB3" w:rsidRDefault="00E26603" w:rsidP="00C22EB3">
      <w:pPr>
        <w:pStyle w:val="TextOPHIE"/>
        <w:spacing w:after="120" w:line="276" w:lineRule="auto"/>
        <w:rPr>
          <w:rFonts w:asciiTheme="minorHAnsi" w:hAnsiTheme="minorHAnsi" w:cstheme="minorHAnsi"/>
          <w:b/>
          <w:bCs/>
          <w:sz w:val="24"/>
        </w:rPr>
      </w:pPr>
      <w:r w:rsidRPr="00E26603">
        <w:rPr>
          <w:rFonts w:asciiTheme="minorHAnsi" w:hAnsiTheme="minorHAnsi" w:cstheme="minorHAnsi"/>
          <w:b/>
          <w:bCs/>
          <w:sz w:val="24"/>
        </w:rPr>
        <w:t>Figure 9. Stroke by Age, Crude Rates, 201</w:t>
      </w:r>
      <w:r w:rsidR="002E1D9C">
        <w:rPr>
          <w:rFonts w:asciiTheme="minorHAnsi" w:hAnsiTheme="minorHAnsi" w:cstheme="minorHAnsi"/>
          <w:b/>
          <w:bCs/>
          <w:sz w:val="24"/>
        </w:rPr>
        <w:t>9</w:t>
      </w:r>
    </w:p>
    <w:p w14:paraId="0EDCD40C" w14:textId="7E5B32D3" w:rsidR="0096747F" w:rsidRPr="004342A0" w:rsidRDefault="0096747F" w:rsidP="00616850">
      <w:pPr>
        <w:pStyle w:val="TextOPHIE"/>
        <w:spacing w:line="276" w:lineRule="auto"/>
        <w:rPr>
          <w:rFonts w:asciiTheme="minorHAnsi" w:hAnsiTheme="minorHAnsi" w:cstheme="minorHAnsi"/>
          <w:sz w:val="24"/>
        </w:rPr>
      </w:pPr>
      <w:r>
        <w:rPr>
          <w:noProof/>
        </w:rPr>
        <w:drawing>
          <wp:inline distT="0" distB="0" distL="0" distR="0" wp14:anchorId="4B5589AB" wp14:editId="657D3485">
            <wp:extent cx="6614160" cy="1463040"/>
            <wp:effectExtent l="0" t="0" r="15240" b="3810"/>
            <wp:docPr id="3" name="Chart 3">
              <a:extLst xmlns:a="http://schemas.openxmlformats.org/drawingml/2006/main">
                <a:ext uri="{FF2B5EF4-FFF2-40B4-BE49-F238E27FC236}">
                  <a16:creationId xmlns:a16="http://schemas.microsoft.com/office/drawing/2014/main" id="{ED803161-A97C-4126-8D62-E1D36EA523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50C7FA2" w14:textId="0174F0A7" w:rsidR="009903F8" w:rsidRDefault="009903F8" w:rsidP="00616850">
      <w:pPr>
        <w:tabs>
          <w:tab w:val="left" w:pos="9630"/>
        </w:tabs>
        <w:spacing w:before="60" w:after="0"/>
        <w:rPr>
          <w:rFonts w:cstheme="minorHAnsi"/>
          <w:sz w:val="16"/>
          <w:szCs w:val="16"/>
        </w:rPr>
      </w:pPr>
      <w:r w:rsidRPr="00044541">
        <w:rPr>
          <w:rFonts w:cstheme="minorHAnsi"/>
          <w:b/>
          <w:bCs/>
          <w:sz w:val="16"/>
          <w:szCs w:val="16"/>
        </w:rPr>
        <w:t xml:space="preserve">Source: </w:t>
      </w:r>
      <w:r>
        <w:rPr>
          <w:rFonts w:cstheme="minorHAnsi"/>
          <w:sz w:val="16"/>
          <w:szCs w:val="16"/>
        </w:rPr>
        <w:t xml:space="preserve">American Stroke Association. </w:t>
      </w:r>
      <w:r w:rsidRPr="008E6FA8">
        <w:rPr>
          <w:rFonts w:cstheme="minorHAnsi"/>
          <w:i/>
          <w:iCs/>
          <w:sz w:val="16"/>
          <w:szCs w:val="16"/>
        </w:rPr>
        <w:t xml:space="preserve">Get </w:t>
      </w:r>
      <w:proofErr w:type="gramStart"/>
      <w:r w:rsidRPr="008E6FA8">
        <w:rPr>
          <w:rFonts w:cstheme="minorHAnsi"/>
          <w:i/>
          <w:iCs/>
          <w:sz w:val="16"/>
          <w:szCs w:val="16"/>
        </w:rPr>
        <w:t>With</w:t>
      </w:r>
      <w:proofErr w:type="gramEnd"/>
      <w:r w:rsidRPr="008E6FA8">
        <w:rPr>
          <w:rFonts w:cstheme="minorHAnsi"/>
          <w:i/>
          <w:iCs/>
          <w:sz w:val="16"/>
          <w:szCs w:val="16"/>
        </w:rPr>
        <w:t xml:space="preserve"> The Guidelines</w:t>
      </w:r>
      <w:r>
        <w:rPr>
          <w:rFonts w:cstheme="minorHAnsi"/>
          <w:i/>
          <w:iCs/>
          <w:sz w:val="16"/>
          <w:szCs w:val="16"/>
        </w:rPr>
        <w:t xml:space="preserve"> - Stroke</w:t>
      </w:r>
      <w:r w:rsidRPr="008E6FA8">
        <w:rPr>
          <w:rFonts w:cstheme="minorHAnsi"/>
          <w:i/>
          <w:iCs/>
          <w:sz w:val="16"/>
          <w:szCs w:val="16"/>
        </w:rPr>
        <w:t xml:space="preserve"> Data</w:t>
      </w:r>
      <w:r>
        <w:rPr>
          <w:rFonts w:cstheme="minorHAnsi"/>
          <w:i/>
          <w:iCs/>
          <w:sz w:val="16"/>
          <w:szCs w:val="16"/>
        </w:rPr>
        <w:t xml:space="preserve"> Registry</w:t>
      </w:r>
      <w:r w:rsidRPr="008E6FA8">
        <w:rPr>
          <w:rFonts w:cstheme="minorHAnsi"/>
          <w:i/>
          <w:iCs/>
          <w:sz w:val="16"/>
          <w:szCs w:val="16"/>
        </w:rPr>
        <w:t xml:space="preserve"> System</w:t>
      </w:r>
      <w:r>
        <w:rPr>
          <w:rFonts w:cstheme="minorHAnsi"/>
          <w:sz w:val="16"/>
          <w:szCs w:val="16"/>
        </w:rPr>
        <w:t xml:space="preserve">. </w:t>
      </w:r>
      <w:r w:rsidRPr="00044541">
        <w:rPr>
          <w:rFonts w:cstheme="minorHAnsi"/>
          <w:sz w:val="16"/>
          <w:szCs w:val="16"/>
        </w:rPr>
        <w:t>Atlanta, Georgia: U.S. Department of Health and Human Services, Centers for Disease Control and Prevention, 201</w:t>
      </w:r>
      <w:r w:rsidR="00A9246F">
        <w:rPr>
          <w:rFonts w:cstheme="minorHAnsi"/>
          <w:sz w:val="16"/>
          <w:szCs w:val="16"/>
        </w:rPr>
        <w:t>9</w:t>
      </w:r>
      <w:r w:rsidRPr="00044541">
        <w:rPr>
          <w:rFonts w:cstheme="minorHAnsi"/>
          <w:sz w:val="16"/>
          <w:szCs w:val="16"/>
        </w:rPr>
        <w:t>.</w:t>
      </w:r>
    </w:p>
    <w:p w14:paraId="56B5EBB0" w14:textId="4C14F95B" w:rsidR="00C65CF0" w:rsidRPr="00EB70C1" w:rsidRDefault="00C65CF0" w:rsidP="00173985">
      <w:pPr>
        <w:tabs>
          <w:tab w:val="left" w:pos="4905"/>
          <w:tab w:val="right" w:pos="10800"/>
        </w:tabs>
        <w:spacing w:after="0" w:line="240" w:lineRule="auto"/>
        <w:rPr>
          <w:rFonts w:cstheme="minorHAnsi"/>
          <w:sz w:val="23"/>
          <w:szCs w:val="23"/>
        </w:rPr>
      </w:pPr>
    </w:p>
    <w:p w14:paraId="225AFA80" w14:textId="447AF4D3" w:rsidR="00B41EF4" w:rsidRPr="00102D64" w:rsidRDefault="00DB58B7" w:rsidP="00C22EB3">
      <w:pPr>
        <w:pStyle w:val="TextOPHIE"/>
        <w:spacing w:line="276" w:lineRule="auto"/>
        <w:jc w:val="both"/>
        <w:rPr>
          <w:rFonts w:asciiTheme="minorHAnsi" w:hAnsiTheme="minorHAnsi" w:cstheme="minorHAnsi"/>
          <w:sz w:val="24"/>
          <w:szCs w:val="22"/>
          <w:vertAlign w:val="superscript"/>
        </w:rPr>
      </w:pPr>
      <w:r w:rsidRPr="00102D64">
        <w:rPr>
          <w:rFonts w:asciiTheme="minorHAnsi" w:hAnsiTheme="minorHAnsi" w:cstheme="minorHAnsi"/>
          <w:sz w:val="24"/>
          <w:szCs w:val="22"/>
        </w:rPr>
        <w:t xml:space="preserve">The Nevada Stroke Registry provides </w:t>
      </w:r>
      <w:r w:rsidR="008B166B" w:rsidRPr="00102D64">
        <w:rPr>
          <w:rFonts w:asciiTheme="minorHAnsi" w:hAnsiTheme="minorHAnsi" w:cstheme="minorHAnsi"/>
          <w:sz w:val="24"/>
          <w:szCs w:val="22"/>
        </w:rPr>
        <w:t xml:space="preserve">statistics </w:t>
      </w:r>
      <w:r w:rsidRPr="00102D64">
        <w:rPr>
          <w:rFonts w:asciiTheme="minorHAnsi" w:hAnsiTheme="minorHAnsi" w:cstheme="minorHAnsi"/>
          <w:sz w:val="24"/>
          <w:szCs w:val="22"/>
        </w:rPr>
        <w:t>on stroke as it relates to race and ethnicity</w:t>
      </w:r>
      <w:r w:rsidR="004F188B" w:rsidRPr="00102D64">
        <w:rPr>
          <w:rFonts w:asciiTheme="minorHAnsi" w:hAnsiTheme="minorHAnsi" w:cstheme="minorHAnsi"/>
          <w:sz w:val="24"/>
          <w:szCs w:val="22"/>
        </w:rPr>
        <w:t>.</w:t>
      </w:r>
      <w:r w:rsidRPr="00102D64">
        <w:rPr>
          <w:rFonts w:asciiTheme="minorHAnsi" w:hAnsiTheme="minorHAnsi" w:cstheme="minorHAnsi"/>
          <w:sz w:val="24"/>
          <w:szCs w:val="22"/>
        </w:rPr>
        <w:t xml:space="preserve"> </w:t>
      </w:r>
      <w:r w:rsidR="00102D64" w:rsidRPr="00102D64">
        <w:rPr>
          <w:rFonts w:asciiTheme="minorHAnsi" w:hAnsiTheme="minorHAnsi" w:cstheme="minorHAnsi"/>
          <w:sz w:val="24"/>
          <w:szCs w:val="22"/>
        </w:rPr>
        <w:t xml:space="preserve">Risk of having a first stroke is nearly twice as high </w:t>
      </w:r>
      <w:r w:rsidR="00102D64" w:rsidRPr="001565B4">
        <w:rPr>
          <w:rFonts w:asciiTheme="minorHAnsi" w:hAnsiTheme="minorHAnsi" w:cstheme="minorHAnsi"/>
          <w:sz w:val="24"/>
          <w:szCs w:val="22"/>
        </w:rPr>
        <w:t xml:space="preserve">for the </w:t>
      </w:r>
      <w:r w:rsidR="00102D64" w:rsidRPr="007A5251">
        <w:rPr>
          <w:rFonts w:asciiTheme="minorHAnsi" w:hAnsiTheme="minorHAnsi" w:cstheme="minorHAnsi"/>
          <w:sz w:val="24"/>
          <w:szCs w:val="22"/>
        </w:rPr>
        <w:t>blacks as for whites,</w:t>
      </w:r>
      <w:r w:rsidR="00102D64" w:rsidRPr="007A5251">
        <w:rPr>
          <w:rFonts w:asciiTheme="minorHAnsi" w:hAnsiTheme="minorHAnsi" w:cstheme="minorHAnsi"/>
          <w:sz w:val="24"/>
          <w:szCs w:val="22"/>
          <w:vertAlign w:val="superscript"/>
        </w:rPr>
        <w:t>2</w:t>
      </w:r>
      <w:r w:rsidR="00102D64" w:rsidRPr="007A5251">
        <w:rPr>
          <w:rFonts w:asciiTheme="minorHAnsi" w:hAnsiTheme="minorHAnsi" w:cstheme="minorHAnsi"/>
          <w:sz w:val="24"/>
          <w:szCs w:val="22"/>
        </w:rPr>
        <w:t xml:space="preserve"> and blacks have the highest rate of death due to stroke. </w:t>
      </w:r>
      <w:r w:rsidR="00102D64" w:rsidRPr="007A5251">
        <w:rPr>
          <w:rFonts w:asciiTheme="minorHAnsi" w:hAnsiTheme="minorHAnsi" w:cstheme="minorHAnsi"/>
          <w:sz w:val="24"/>
          <w:szCs w:val="22"/>
          <w:vertAlign w:val="superscript"/>
        </w:rPr>
        <w:t>1</w:t>
      </w:r>
    </w:p>
    <w:p w14:paraId="039F372F" w14:textId="7CBDE221" w:rsidR="00C65CF0" w:rsidRPr="001D6A3E" w:rsidRDefault="00C65CF0" w:rsidP="00C22EB3">
      <w:pPr>
        <w:pStyle w:val="TextOPHIE"/>
        <w:spacing w:line="276" w:lineRule="auto"/>
        <w:jc w:val="both"/>
        <w:rPr>
          <w:rFonts w:asciiTheme="minorHAnsi" w:hAnsiTheme="minorHAnsi" w:cstheme="minorHAnsi"/>
          <w:sz w:val="20"/>
          <w:szCs w:val="20"/>
        </w:rPr>
      </w:pPr>
    </w:p>
    <w:p w14:paraId="338019DF" w14:textId="7A587A3F" w:rsidR="00451F03" w:rsidRDefault="00C65CF0" w:rsidP="00C22EB3">
      <w:pPr>
        <w:pStyle w:val="TextOPHIE"/>
        <w:spacing w:line="276" w:lineRule="auto"/>
        <w:jc w:val="both"/>
        <w:rPr>
          <w:rFonts w:asciiTheme="minorHAnsi" w:hAnsiTheme="minorHAnsi" w:cstheme="minorHAnsi"/>
          <w:sz w:val="24"/>
        </w:rPr>
      </w:pPr>
      <w:r w:rsidRPr="008E6FA8">
        <w:rPr>
          <w:rFonts w:asciiTheme="minorHAnsi" w:hAnsiTheme="minorHAnsi" w:cstheme="minorHAnsi"/>
          <w:sz w:val="24"/>
        </w:rPr>
        <w:t>When examining the distribution of strokes by race/ethnicity</w:t>
      </w:r>
      <w:r w:rsidR="008B166B">
        <w:rPr>
          <w:rFonts w:asciiTheme="minorHAnsi" w:hAnsiTheme="minorHAnsi" w:cstheme="minorHAnsi"/>
          <w:sz w:val="24"/>
        </w:rPr>
        <w:t xml:space="preserve"> (figure 10)</w:t>
      </w:r>
      <w:r w:rsidR="00555A0F" w:rsidRPr="008E6FA8">
        <w:rPr>
          <w:rFonts w:asciiTheme="minorHAnsi" w:hAnsiTheme="minorHAnsi" w:cstheme="minorHAnsi"/>
          <w:sz w:val="24"/>
        </w:rPr>
        <w:t xml:space="preserve">, </w:t>
      </w:r>
      <w:r w:rsidR="008B166B">
        <w:rPr>
          <w:rFonts w:asciiTheme="minorHAnsi" w:hAnsiTheme="minorHAnsi" w:cstheme="minorHAnsi"/>
          <w:sz w:val="24"/>
        </w:rPr>
        <w:t xml:space="preserve">the </w:t>
      </w:r>
      <w:r w:rsidR="00102D64">
        <w:rPr>
          <w:rFonts w:asciiTheme="minorHAnsi" w:hAnsiTheme="minorHAnsi" w:cstheme="minorHAnsi"/>
          <w:sz w:val="24"/>
        </w:rPr>
        <w:t>Black</w:t>
      </w:r>
      <w:r w:rsidR="008B166B">
        <w:rPr>
          <w:rFonts w:asciiTheme="minorHAnsi" w:hAnsiTheme="minorHAnsi" w:cstheme="minorHAnsi"/>
          <w:sz w:val="24"/>
        </w:rPr>
        <w:t xml:space="preserve"> population</w:t>
      </w:r>
      <w:r w:rsidR="00602DD7" w:rsidRPr="008E6FA8">
        <w:rPr>
          <w:rFonts w:asciiTheme="minorHAnsi" w:hAnsiTheme="minorHAnsi" w:cstheme="minorHAnsi"/>
          <w:sz w:val="24"/>
        </w:rPr>
        <w:t xml:space="preserve"> (</w:t>
      </w:r>
      <w:r w:rsidR="00102D64">
        <w:rPr>
          <w:rFonts w:asciiTheme="minorHAnsi" w:hAnsiTheme="minorHAnsi" w:cstheme="minorHAnsi"/>
          <w:sz w:val="24"/>
        </w:rPr>
        <w:t>296.74</w:t>
      </w:r>
      <w:r w:rsidR="00602DD7" w:rsidRPr="008E6FA8">
        <w:rPr>
          <w:rFonts w:asciiTheme="minorHAnsi" w:hAnsiTheme="minorHAnsi" w:cstheme="minorHAnsi"/>
          <w:sz w:val="24"/>
        </w:rPr>
        <w:t xml:space="preserve"> per 100,000 population) and </w:t>
      </w:r>
      <w:r w:rsidR="008B166B">
        <w:rPr>
          <w:rFonts w:asciiTheme="minorHAnsi" w:hAnsiTheme="minorHAnsi" w:cstheme="minorHAnsi"/>
          <w:sz w:val="24"/>
        </w:rPr>
        <w:t xml:space="preserve">the </w:t>
      </w:r>
      <w:r w:rsidR="0072234C" w:rsidRPr="008E6FA8">
        <w:rPr>
          <w:rFonts w:asciiTheme="minorHAnsi" w:hAnsiTheme="minorHAnsi" w:cstheme="minorHAnsi"/>
          <w:sz w:val="24"/>
        </w:rPr>
        <w:t>W</w:t>
      </w:r>
      <w:r w:rsidRPr="008E6FA8">
        <w:rPr>
          <w:rFonts w:asciiTheme="minorHAnsi" w:hAnsiTheme="minorHAnsi" w:cstheme="minorHAnsi"/>
          <w:sz w:val="24"/>
        </w:rPr>
        <w:t>hite</w:t>
      </w:r>
      <w:r w:rsidR="008B166B">
        <w:rPr>
          <w:rFonts w:asciiTheme="minorHAnsi" w:hAnsiTheme="minorHAnsi" w:cstheme="minorHAnsi"/>
          <w:sz w:val="24"/>
        </w:rPr>
        <w:t xml:space="preserve"> population</w:t>
      </w:r>
      <w:r w:rsidRPr="008E6FA8">
        <w:rPr>
          <w:rFonts w:asciiTheme="minorHAnsi" w:hAnsiTheme="minorHAnsi" w:cstheme="minorHAnsi"/>
          <w:sz w:val="24"/>
        </w:rPr>
        <w:t xml:space="preserve"> (</w:t>
      </w:r>
      <w:r w:rsidR="00BB4633" w:rsidRPr="008E6FA8">
        <w:rPr>
          <w:rFonts w:asciiTheme="minorHAnsi" w:hAnsiTheme="minorHAnsi" w:cstheme="minorHAnsi"/>
          <w:sz w:val="24"/>
        </w:rPr>
        <w:t>17</w:t>
      </w:r>
      <w:r w:rsidR="00102D64">
        <w:rPr>
          <w:rFonts w:asciiTheme="minorHAnsi" w:hAnsiTheme="minorHAnsi" w:cstheme="minorHAnsi"/>
          <w:sz w:val="24"/>
        </w:rPr>
        <w:t>3.57</w:t>
      </w:r>
      <w:r w:rsidR="00BB4633" w:rsidRPr="008E6FA8">
        <w:rPr>
          <w:rFonts w:asciiTheme="minorHAnsi" w:hAnsiTheme="minorHAnsi" w:cstheme="minorHAnsi"/>
          <w:sz w:val="24"/>
        </w:rPr>
        <w:t xml:space="preserve"> </w:t>
      </w:r>
      <w:r w:rsidRPr="008E6FA8">
        <w:rPr>
          <w:rFonts w:asciiTheme="minorHAnsi" w:hAnsiTheme="minorHAnsi" w:cstheme="minorHAnsi"/>
          <w:sz w:val="24"/>
        </w:rPr>
        <w:t>per 100,000 population)</w:t>
      </w:r>
      <w:r w:rsidR="00602DD7" w:rsidRPr="008E6FA8">
        <w:rPr>
          <w:rFonts w:asciiTheme="minorHAnsi" w:hAnsiTheme="minorHAnsi" w:cstheme="minorHAnsi"/>
          <w:sz w:val="24"/>
        </w:rPr>
        <w:t xml:space="preserve"> </w:t>
      </w:r>
      <w:r w:rsidR="00590F3A" w:rsidRPr="008E6FA8">
        <w:rPr>
          <w:rFonts w:asciiTheme="minorHAnsi" w:hAnsiTheme="minorHAnsi" w:cstheme="minorHAnsi"/>
          <w:sz w:val="24"/>
        </w:rPr>
        <w:t>experienced</w:t>
      </w:r>
      <w:r w:rsidRPr="008E6FA8">
        <w:rPr>
          <w:rFonts w:asciiTheme="minorHAnsi" w:hAnsiTheme="minorHAnsi" w:cstheme="minorHAnsi"/>
          <w:sz w:val="24"/>
        </w:rPr>
        <w:t xml:space="preserve"> higher rates of stroke</w:t>
      </w:r>
      <w:r w:rsidR="000E04A4" w:rsidRPr="008E6FA8">
        <w:rPr>
          <w:rFonts w:asciiTheme="minorHAnsi" w:hAnsiTheme="minorHAnsi" w:cstheme="minorHAnsi"/>
          <w:sz w:val="24"/>
        </w:rPr>
        <w:t xml:space="preserve"> in 201</w:t>
      </w:r>
      <w:r w:rsidR="00102D64">
        <w:rPr>
          <w:rFonts w:asciiTheme="minorHAnsi" w:hAnsiTheme="minorHAnsi" w:cstheme="minorHAnsi"/>
          <w:sz w:val="24"/>
        </w:rPr>
        <w:t>9</w:t>
      </w:r>
      <w:r w:rsidR="000E04A4" w:rsidRPr="008E6FA8">
        <w:rPr>
          <w:rFonts w:asciiTheme="minorHAnsi" w:hAnsiTheme="minorHAnsi" w:cstheme="minorHAnsi"/>
          <w:sz w:val="24"/>
        </w:rPr>
        <w:t xml:space="preserve"> </w:t>
      </w:r>
      <w:r w:rsidRPr="008E6FA8">
        <w:rPr>
          <w:rFonts w:asciiTheme="minorHAnsi" w:hAnsiTheme="minorHAnsi" w:cstheme="minorHAnsi"/>
          <w:sz w:val="24"/>
        </w:rPr>
        <w:t xml:space="preserve">compared </w:t>
      </w:r>
      <w:r w:rsidR="0072234C" w:rsidRPr="008E6FA8">
        <w:rPr>
          <w:rFonts w:asciiTheme="minorHAnsi" w:hAnsiTheme="minorHAnsi" w:cstheme="minorHAnsi"/>
          <w:sz w:val="24"/>
        </w:rPr>
        <w:t>to</w:t>
      </w:r>
      <w:r w:rsidRPr="008E6FA8">
        <w:rPr>
          <w:rFonts w:asciiTheme="minorHAnsi" w:hAnsiTheme="minorHAnsi" w:cstheme="minorHAnsi"/>
          <w:sz w:val="24"/>
        </w:rPr>
        <w:t xml:space="preserve"> other racial and ethnic </w:t>
      </w:r>
      <w:r w:rsidR="00B65C15" w:rsidRPr="008E6FA8">
        <w:rPr>
          <w:rFonts w:asciiTheme="minorHAnsi" w:hAnsiTheme="minorHAnsi" w:cstheme="minorHAnsi"/>
          <w:sz w:val="24"/>
        </w:rPr>
        <w:t>groups</w:t>
      </w:r>
      <w:r w:rsidRPr="008E6FA8">
        <w:rPr>
          <w:rFonts w:asciiTheme="minorHAnsi" w:hAnsiTheme="minorHAnsi" w:cstheme="minorHAnsi"/>
          <w:sz w:val="24"/>
        </w:rPr>
        <w:t>.</w:t>
      </w:r>
      <w:r w:rsidR="00451F03">
        <w:rPr>
          <w:rFonts w:asciiTheme="minorHAnsi" w:hAnsiTheme="minorHAnsi" w:cstheme="minorHAnsi"/>
          <w:sz w:val="24"/>
        </w:rPr>
        <w:t xml:space="preserve"> </w:t>
      </w:r>
    </w:p>
    <w:p w14:paraId="2F56CB68" w14:textId="77777777" w:rsidR="007A5251" w:rsidRDefault="007A5251" w:rsidP="00C22EB3">
      <w:pPr>
        <w:pStyle w:val="TextOPHIE"/>
        <w:jc w:val="both"/>
        <w:rPr>
          <w:rFonts w:asciiTheme="minorHAnsi" w:hAnsiTheme="minorHAnsi" w:cstheme="minorHAnsi"/>
          <w:sz w:val="24"/>
        </w:rPr>
      </w:pPr>
    </w:p>
    <w:p w14:paraId="6795DFF0" w14:textId="7BF3F1C7" w:rsidR="00451F03" w:rsidRDefault="00451F03" w:rsidP="00616850">
      <w:pPr>
        <w:pStyle w:val="TextOPHIE"/>
        <w:spacing w:before="120" w:line="276" w:lineRule="auto"/>
        <w:jc w:val="both"/>
        <w:rPr>
          <w:rFonts w:asciiTheme="minorHAnsi" w:hAnsiTheme="minorHAnsi" w:cstheme="minorHAnsi"/>
          <w:b/>
          <w:bCs/>
          <w:sz w:val="24"/>
        </w:rPr>
      </w:pPr>
      <w:r w:rsidRPr="00BD2228">
        <w:rPr>
          <w:rFonts w:asciiTheme="minorHAnsi" w:hAnsiTheme="minorHAnsi" w:cstheme="minorHAnsi"/>
          <w:b/>
          <w:bCs/>
          <w:sz w:val="24"/>
        </w:rPr>
        <w:t>Figure 10. Race/Ethnicity, Crude Rates, 201</w:t>
      </w:r>
      <w:r w:rsidR="00BD2228" w:rsidRPr="00BD2228">
        <w:rPr>
          <w:rFonts w:asciiTheme="minorHAnsi" w:hAnsiTheme="minorHAnsi" w:cstheme="minorHAnsi"/>
          <w:b/>
          <w:bCs/>
          <w:sz w:val="24"/>
        </w:rPr>
        <w:t>9</w:t>
      </w:r>
    </w:p>
    <w:p w14:paraId="588F56CD" w14:textId="525A2EAF" w:rsidR="0096747F" w:rsidRPr="00BD2228" w:rsidRDefault="0096747F" w:rsidP="00616850">
      <w:pPr>
        <w:pStyle w:val="TextOPHIE"/>
        <w:spacing w:before="120"/>
        <w:rPr>
          <w:rFonts w:asciiTheme="minorHAnsi" w:hAnsiTheme="minorHAnsi" w:cstheme="minorHAnsi"/>
          <w:sz w:val="24"/>
        </w:rPr>
      </w:pPr>
      <w:r>
        <w:rPr>
          <w:noProof/>
        </w:rPr>
        <w:drawing>
          <wp:inline distT="0" distB="0" distL="0" distR="0" wp14:anchorId="68BDC058" wp14:editId="5854CDCB">
            <wp:extent cx="6792595" cy="1645920"/>
            <wp:effectExtent l="0" t="0" r="8255" b="11430"/>
            <wp:docPr id="2" name="Chart 2">
              <a:extLst xmlns:a="http://schemas.openxmlformats.org/drawingml/2006/main">
                <a:ext uri="{FF2B5EF4-FFF2-40B4-BE49-F238E27FC236}">
                  <a16:creationId xmlns:a16="http://schemas.microsoft.com/office/drawing/2014/main" id="{E9B29C12-A41C-41A8-821A-C0CFC41EE8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4CD6DA1" w14:textId="77777777" w:rsidR="00F9248C" w:rsidRPr="00C31A29" w:rsidRDefault="00D87EBF" w:rsidP="00C22EB3">
      <w:pPr>
        <w:spacing w:after="0" w:line="240" w:lineRule="auto"/>
        <w:ind w:right="756"/>
        <w:rPr>
          <w:rFonts w:cstheme="minorHAnsi"/>
          <w:sz w:val="16"/>
          <w:szCs w:val="16"/>
        </w:rPr>
      </w:pPr>
      <w:r w:rsidRPr="00C31A29">
        <w:rPr>
          <w:rFonts w:cstheme="minorHAnsi"/>
          <w:b/>
          <w:bCs/>
          <w:sz w:val="16"/>
          <w:szCs w:val="16"/>
        </w:rPr>
        <w:t>AI/AN:</w:t>
      </w:r>
      <w:r w:rsidRPr="00C31A29">
        <w:rPr>
          <w:rFonts w:cstheme="minorHAnsi"/>
          <w:sz w:val="16"/>
          <w:szCs w:val="16"/>
        </w:rPr>
        <w:t xml:space="preserve"> American Indian/Alaska Native; </w:t>
      </w:r>
    </w:p>
    <w:p w14:paraId="17203964" w14:textId="72FED20F" w:rsidR="00D87EBF" w:rsidRPr="00C31A29" w:rsidRDefault="00D87EBF" w:rsidP="00C22EB3">
      <w:pPr>
        <w:spacing w:after="0" w:line="240" w:lineRule="auto"/>
        <w:ind w:right="846"/>
        <w:rPr>
          <w:rFonts w:cstheme="minorHAnsi"/>
          <w:b/>
          <w:bCs/>
          <w:sz w:val="16"/>
          <w:szCs w:val="16"/>
        </w:rPr>
      </w:pPr>
      <w:r w:rsidRPr="00C31A29">
        <w:rPr>
          <w:rFonts w:cstheme="minorHAnsi"/>
          <w:b/>
          <w:bCs/>
          <w:sz w:val="16"/>
          <w:szCs w:val="16"/>
        </w:rPr>
        <w:t>NH/PI:</w:t>
      </w:r>
      <w:r w:rsidRPr="00C31A29">
        <w:rPr>
          <w:rFonts w:cstheme="minorHAnsi"/>
          <w:sz w:val="16"/>
          <w:szCs w:val="16"/>
        </w:rPr>
        <w:t xml:space="preserve"> Native Hawaiian/Pacific Islander</w:t>
      </w:r>
      <w:r w:rsidRPr="00C31A29">
        <w:rPr>
          <w:rFonts w:cstheme="minorHAnsi"/>
          <w:b/>
          <w:bCs/>
          <w:sz w:val="16"/>
          <w:szCs w:val="16"/>
        </w:rPr>
        <w:t xml:space="preserve"> </w:t>
      </w:r>
    </w:p>
    <w:p w14:paraId="561FBDC9" w14:textId="541FAB75" w:rsidR="00DB58B7" w:rsidRPr="00C31A29" w:rsidRDefault="009903F8" w:rsidP="00C22EB3">
      <w:pPr>
        <w:spacing w:after="0" w:line="240" w:lineRule="auto"/>
        <w:rPr>
          <w:rFonts w:cstheme="minorHAnsi"/>
          <w:sz w:val="16"/>
          <w:szCs w:val="16"/>
        </w:rPr>
      </w:pPr>
      <w:r w:rsidRPr="00C31A29">
        <w:rPr>
          <w:rFonts w:cstheme="minorHAnsi"/>
          <w:b/>
          <w:bCs/>
          <w:sz w:val="16"/>
          <w:szCs w:val="16"/>
        </w:rPr>
        <w:t xml:space="preserve">Source: </w:t>
      </w:r>
      <w:r w:rsidRPr="00C31A29">
        <w:rPr>
          <w:rFonts w:cstheme="minorHAnsi"/>
          <w:sz w:val="16"/>
          <w:szCs w:val="16"/>
        </w:rPr>
        <w:t xml:space="preserve">American Stroke Association. </w:t>
      </w:r>
      <w:r w:rsidRPr="00C31A29">
        <w:rPr>
          <w:rFonts w:cstheme="minorHAnsi"/>
          <w:i/>
          <w:iCs/>
          <w:sz w:val="16"/>
          <w:szCs w:val="16"/>
        </w:rPr>
        <w:t xml:space="preserve">Get </w:t>
      </w:r>
      <w:proofErr w:type="gramStart"/>
      <w:r w:rsidRPr="00C31A29">
        <w:rPr>
          <w:rFonts w:cstheme="minorHAnsi"/>
          <w:i/>
          <w:iCs/>
          <w:sz w:val="16"/>
          <w:szCs w:val="16"/>
        </w:rPr>
        <w:t>With</w:t>
      </w:r>
      <w:proofErr w:type="gramEnd"/>
      <w:r w:rsidRPr="00C31A29">
        <w:rPr>
          <w:rFonts w:cstheme="minorHAnsi"/>
          <w:i/>
          <w:iCs/>
          <w:sz w:val="16"/>
          <w:szCs w:val="16"/>
        </w:rPr>
        <w:t xml:space="preserve"> The Guidelines - Stroke Data Registry System</w:t>
      </w:r>
      <w:r w:rsidRPr="00C31A29">
        <w:rPr>
          <w:rFonts w:cstheme="minorHAnsi"/>
          <w:sz w:val="16"/>
          <w:szCs w:val="16"/>
        </w:rPr>
        <w:t>. Atlanta, Georgia: U.S. Department of Health and Human Services, Centers for Disease Control and Prevention, 201</w:t>
      </w:r>
      <w:r w:rsidR="00A9246F" w:rsidRPr="00C31A29">
        <w:rPr>
          <w:rFonts w:cstheme="minorHAnsi"/>
          <w:sz w:val="16"/>
          <w:szCs w:val="16"/>
        </w:rPr>
        <w:t>9.</w:t>
      </w:r>
    </w:p>
    <w:p w14:paraId="0BCB4D1C" w14:textId="77777777" w:rsidR="007074BD" w:rsidRPr="006F3331" w:rsidRDefault="007074BD" w:rsidP="00173985">
      <w:pPr>
        <w:spacing w:after="0"/>
        <w:ind w:left="-90" w:right="756"/>
        <w:rPr>
          <w:rFonts w:cstheme="minorHAnsi"/>
          <w:sz w:val="24"/>
          <w:szCs w:val="24"/>
        </w:rPr>
      </w:pPr>
    </w:p>
    <w:p w14:paraId="2DCA6BDB" w14:textId="11AA8793" w:rsidR="00DB58B7" w:rsidRPr="00D47E43" w:rsidRDefault="00DB58B7" w:rsidP="00C22EB3">
      <w:pPr>
        <w:pStyle w:val="HeadingOPHIE"/>
        <w:spacing w:before="0" w:after="0" w:line="276" w:lineRule="auto"/>
        <w:rPr>
          <w:rFonts w:asciiTheme="minorHAnsi" w:hAnsiTheme="minorHAnsi" w:cstheme="minorHAnsi"/>
          <w:b w:val="0"/>
          <w:sz w:val="36"/>
          <w:szCs w:val="36"/>
        </w:rPr>
      </w:pPr>
      <w:r w:rsidRPr="00D47E43">
        <w:rPr>
          <w:rFonts w:asciiTheme="minorHAnsi" w:hAnsiTheme="minorHAnsi" w:cstheme="minorHAnsi"/>
          <w:color w:val="auto"/>
          <w:sz w:val="36"/>
          <w:szCs w:val="36"/>
        </w:rPr>
        <w:t>Performance Measures</w:t>
      </w:r>
    </w:p>
    <w:p w14:paraId="21BA7B5D" w14:textId="79F77C4D" w:rsidR="00A0583C" w:rsidRPr="001C5F07" w:rsidRDefault="001C5F07" w:rsidP="00C22EB3">
      <w:pPr>
        <w:pStyle w:val="TextOPHIE"/>
        <w:spacing w:line="276" w:lineRule="auto"/>
        <w:jc w:val="both"/>
        <w:rPr>
          <w:color w:val="000000"/>
          <w:sz w:val="24"/>
          <w:szCs w:val="24"/>
          <w:shd w:val="clear" w:color="auto" w:fill="FFFFFF"/>
        </w:rPr>
      </w:pPr>
      <w:r w:rsidRPr="001C5F07">
        <w:rPr>
          <w:rFonts w:asciiTheme="minorHAnsi" w:hAnsiTheme="minorHAnsi" w:cstheme="minorHAnsi"/>
          <w:sz w:val="24"/>
          <w:szCs w:val="24"/>
        </w:rPr>
        <w:t>DPBH follows the performance measures which coincide with the Paul Coverdell core consensus measures based on GWTG-S data reported by the primary stroke centers in Nevada. The performance measures are evidence-based recommendations developed by the Joint Commission, AHA/ASA, and the CDC for optimal treatment of ischemic strokes. The performance measures are analyzed to identify opportunities to improve stroke care in patients as well as in hospitals</w:t>
      </w:r>
      <w:r w:rsidR="007A5251" w:rsidRPr="001C5F07">
        <w:rPr>
          <w:rFonts w:asciiTheme="minorHAnsi" w:hAnsiTheme="minorHAnsi" w:cstheme="minorHAnsi"/>
          <w:sz w:val="24"/>
          <w:szCs w:val="24"/>
        </w:rPr>
        <w:t xml:space="preserve">. </w:t>
      </w:r>
    </w:p>
    <w:p w14:paraId="77E083FC" w14:textId="77777777" w:rsidR="00A0583C" w:rsidRPr="001C5F07" w:rsidRDefault="00A0583C" w:rsidP="00C22EB3">
      <w:pPr>
        <w:pStyle w:val="TextOPHIE"/>
        <w:spacing w:line="276" w:lineRule="auto"/>
        <w:jc w:val="both"/>
        <w:rPr>
          <w:rFonts w:asciiTheme="minorHAnsi" w:hAnsiTheme="minorHAnsi" w:cstheme="minorHAnsi"/>
          <w:color w:val="000000"/>
          <w:sz w:val="24"/>
          <w:szCs w:val="24"/>
          <w:shd w:val="clear" w:color="auto" w:fill="FFFFFF"/>
        </w:rPr>
      </w:pPr>
    </w:p>
    <w:p w14:paraId="704CB4D2" w14:textId="7093F0D1" w:rsidR="001C5F07" w:rsidRDefault="001C5F07" w:rsidP="00C22EB3">
      <w:pPr>
        <w:pStyle w:val="TextOPHIE"/>
        <w:spacing w:line="276" w:lineRule="auto"/>
        <w:jc w:val="both"/>
        <w:rPr>
          <w:rFonts w:asciiTheme="minorHAnsi" w:hAnsiTheme="minorHAnsi" w:cstheme="minorHAnsi"/>
          <w:sz w:val="24"/>
          <w:szCs w:val="24"/>
        </w:rPr>
      </w:pPr>
      <w:r w:rsidRPr="001C5F07">
        <w:rPr>
          <w:rFonts w:asciiTheme="minorHAnsi" w:hAnsiTheme="minorHAnsi" w:cstheme="minorHAnsi"/>
          <w:sz w:val="24"/>
          <w:szCs w:val="24"/>
        </w:rPr>
        <w:t xml:space="preserve">The performance measures in Figure 11 indicate </w:t>
      </w:r>
      <w:proofErr w:type="spellStart"/>
      <w:r w:rsidRPr="001C5F07">
        <w:rPr>
          <w:rFonts w:asciiTheme="minorHAnsi" w:hAnsiTheme="minorHAnsi" w:cstheme="minorHAnsi"/>
          <w:sz w:val="24"/>
          <w:szCs w:val="24"/>
        </w:rPr>
        <w:t>Antithrombotics</w:t>
      </w:r>
      <w:proofErr w:type="spellEnd"/>
      <w:r w:rsidRPr="001C5F07">
        <w:rPr>
          <w:rFonts w:asciiTheme="minorHAnsi" w:hAnsiTheme="minorHAnsi" w:cstheme="minorHAnsi"/>
          <w:sz w:val="24"/>
          <w:szCs w:val="24"/>
        </w:rPr>
        <w:t xml:space="preserve"> at Discharge (99.4 %) was the best performing measure compared to Dysphagia Screen (85.2 %), which was the lowest performing measure.</w:t>
      </w:r>
    </w:p>
    <w:p w14:paraId="2BA438E2" w14:textId="5626F0D8" w:rsidR="00C22EB3" w:rsidRDefault="00C22EB3" w:rsidP="00C22EB3">
      <w:pPr>
        <w:pStyle w:val="TextOPHIE"/>
        <w:spacing w:line="276" w:lineRule="auto"/>
        <w:jc w:val="both"/>
        <w:rPr>
          <w:rFonts w:asciiTheme="minorHAnsi" w:hAnsiTheme="minorHAnsi" w:cstheme="minorHAnsi"/>
          <w:sz w:val="24"/>
          <w:szCs w:val="24"/>
        </w:rPr>
      </w:pPr>
    </w:p>
    <w:p w14:paraId="2EF277E5" w14:textId="77777777" w:rsidR="00C22EB3" w:rsidRPr="001C5F07" w:rsidRDefault="00C22EB3" w:rsidP="00C22EB3">
      <w:pPr>
        <w:pStyle w:val="TextOPHIE"/>
        <w:spacing w:line="276" w:lineRule="auto"/>
        <w:jc w:val="both"/>
        <w:rPr>
          <w:rFonts w:asciiTheme="minorHAnsi" w:hAnsiTheme="minorHAnsi" w:cstheme="minorHAnsi"/>
          <w:sz w:val="24"/>
          <w:szCs w:val="24"/>
        </w:rPr>
      </w:pPr>
    </w:p>
    <w:p w14:paraId="739DE83F" w14:textId="15CCE3D2" w:rsidR="004342A0" w:rsidRDefault="004342A0" w:rsidP="00616850">
      <w:pPr>
        <w:pStyle w:val="TextOPHIE"/>
        <w:spacing w:after="60" w:line="276" w:lineRule="auto"/>
        <w:rPr>
          <w:rFonts w:asciiTheme="minorHAnsi" w:hAnsiTheme="minorHAnsi" w:cstheme="minorHAnsi"/>
          <w:b/>
          <w:bCs/>
          <w:sz w:val="24"/>
          <w:szCs w:val="24"/>
        </w:rPr>
      </w:pPr>
      <w:r w:rsidRPr="004342A0">
        <w:rPr>
          <w:rFonts w:asciiTheme="minorHAnsi" w:hAnsiTheme="minorHAnsi" w:cstheme="minorHAnsi"/>
          <w:b/>
          <w:bCs/>
          <w:sz w:val="24"/>
          <w:szCs w:val="24"/>
        </w:rPr>
        <w:t xml:space="preserve">Figure 11. Performance Measure, </w:t>
      </w:r>
      <w:r w:rsidR="00AB0E42">
        <w:rPr>
          <w:rFonts w:asciiTheme="minorHAnsi" w:hAnsiTheme="minorHAnsi" w:cstheme="minorHAnsi"/>
          <w:b/>
          <w:bCs/>
          <w:sz w:val="24"/>
          <w:szCs w:val="24"/>
        </w:rPr>
        <w:t xml:space="preserve">2019 </w:t>
      </w:r>
      <w:r w:rsidRPr="004342A0">
        <w:rPr>
          <w:rFonts w:asciiTheme="minorHAnsi" w:hAnsiTheme="minorHAnsi" w:cstheme="minorHAnsi"/>
          <w:b/>
          <w:bCs/>
          <w:sz w:val="24"/>
          <w:szCs w:val="24"/>
        </w:rPr>
        <w:t>Nevada</w:t>
      </w:r>
    </w:p>
    <w:p w14:paraId="76BB7662" w14:textId="4B018430" w:rsidR="004342A0" w:rsidRDefault="004342A0" w:rsidP="00616850">
      <w:pPr>
        <w:pStyle w:val="TextOPHIE"/>
        <w:spacing w:line="276" w:lineRule="auto"/>
        <w:jc w:val="both"/>
        <w:rPr>
          <w:rFonts w:asciiTheme="minorHAnsi" w:hAnsiTheme="minorHAnsi" w:cstheme="minorHAnsi"/>
          <w:sz w:val="24"/>
          <w:szCs w:val="22"/>
        </w:rPr>
      </w:pPr>
      <w:r>
        <w:rPr>
          <w:noProof/>
        </w:rPr>
        <w:drawing>
          <wp:inline distT="0" distB="0" distL="0" distR="0" wp14:anchorId="3717E550" wp14:editId="1EBFED6A">
            <wp:extent cx="6780810" cy="1955800"/>
            <wp:effectExtent l="0" t="0" r="1270" b="6350"/>
            <wp:docPr id="10" name="Chart 10">
              <a:extLst xmlns:a="http://schemas.openxmlformats.org/drawingml/2006/main">
                <a:ext uri="{FF2B5EF4-FFF2-40B4-BE49-F238E27FC236}">
                  <a16:creationId xmlns:a16="http://schemas.microsoft.com/office/drawing/2014/main" id="{857F2928-37C1-4FD4-9C3C-49DEC1AFBC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9DDFDEC" w14:textId="273DD09D" w:rsidR="00C57CBF" w:rsidRDefault="00C57CBF" w:rsidP="00616850">
      <w:pPr>
        <w:spacing w:before="60" w:after="0"/>
        <w:rPr>
          <w:rFonts w:cstheme="minorHAnsi"/>
          <w:sz w:val="16"/>
          <w:szCs w:val="16"/>
        </w:rPr>
      </w:pPr>
      <w:r w:rsidRPr="00044541">
        <w:rPr>
          <w:rFonts w:cstheme="minorHAnsi"/>
          <w:b/>
          <w:bCs/>
          <w:sz w:val="16"/>
          <w:szCs w:val="16"/>
        </w:rPr>
        <w:t xml:space="preserve">Source: </w:t>
      </w:r>
      <w:r>
        <w:rPr>
          <w:rFonts w:cstheme="minorHAnsi"/>
          <w:sz w:val="16"/>
          <w:szCs w:val="16"/>
        </w:rPr>
        <w:t xml:space="preserve">American Stroke Association. </w:t>
      </w:r>
      <w:r w:rsidRPr="008E6FA8">
        <w:rPr>
          <w:rFonts w:cstheme="minorHAnsi"/>
          <w:i/>
          <w:iCs/>
          <w:sz w:val="16"/>
          <w:szCs w:val="16"/>
        </w:rPr>
        <w:t xml:space="preserve">Get </w:t>
      </w:r>
      <w:proofErr w:type="gramStart"/>
      <w:r w:rsidRPr="008E6FA8">
        <w:rPr>
          <w:rFonts w:cstheme="minorHAnsi"/>
          <w:i/>
          <w:iCs/>
          <w:sz w:val="16"/>
          <w:szCs w:val="16"/>
        </w:rPr>
        <w:t>With</w:t>
      </w:r>
      <w:proofErr w:type="gramEnd"/>
      <w:r w:rsidRPr="008E6FA8">
        <w:rPr>
          <w:rFonts w:cstheme="minorHAnsi"/>
          <w:i/>
          <w:iCs/>
          <w:sz w:val="16"/>
          <w:szCs w:val="16"/>
        </w:rPr>
        <w:t xml:space="preserve"> The Guidelines</w:t>
      </w:r>
      <w:r>
        <w:rPr>
          <w:rFonts w:cstheme="minorHAnsi"/>
          <w:i/>
          <w:iCs/>
          <w:sz w:val="16"/>
          <w:szCs w:val="16"/>
        </w:rPr>
        <w:t xml:space="preserve"> - Stroke</w:t>
      </w:r>
      <w:r w:rsidRPr="008E6FA8">
        <w:rPr>
          <w:rFonts w:cstheme="minorHAnsi"/>
          <w:i/>
          <w:iCs/>
          <w:sz w:val="16"/>
          <w:szCs w:val="16"/>
        </w:rPr>
        <w:t xml:space="preserve"> Data</w:t>
      </w:r>
      <w:r>
        <w:rPr>
          <w:rFonts w:cstheme="minorHAnsi"/>
          <w:i/>
          <w:iCs/>
          <w:sz w:val="16"/>
          <w:szCs w:val="16"/>
        </w:rPr>
        <w:t xml:space="preserve"> Registry</w:t>
      </w:r>
      <w:r w:rsidRPr="008E6FA8">
        <w:rPr>
          <w:rFonts w:cstheme="minorHAnsi"/>
          <w:i/>
          <w:iCs/>
          <w:sz w:val="16"/>
          <w:szCs w:val="16"/>
        </w:rPr>
        <w:t xml:space="preserve"> System</w:t>
      </w:r>
      <w:r>
        <w:rPr>
          <w:rFonts w:cstheme="minorHAnsi"/>
          <w:sz w:val="16"/>
          <w:szCs w:val="16"/>
        </w:rPr>
        <w:t xml:space="preserve">. </w:t>
      </w:r>
      <w:r w:rsidRPr="00044541">
        <w:rPr>
          <w:rFonts w:cstheme="minorHAnsi"/>
          <w:sz w:val="16"/>
          <w:szCs w:val="16"/>
        </w:rPr>
        <w:t>Atlanta, Georgia: U.S. Department of Health and Human Services, Centers for Disease Control and Prevention, 201</w:t>
      </w:r>
      <w:r w:rsidR="00A9246F">
        <w:rPr>
          <w:rFonts w:cstheme="minorHAnsi"/>
          <w:sz w:val="16"/>
          <w:szCs w:val="16"/>
        </w:rPr>
        <w:t>9</w:t>
      </w:r>
      <w:r w:rsidRPr="00044541">
        <w:rPr>
          <w:rFonts w:cstheme="minorHAnsi"/>
          <w:sz w:val="16"/>
          <w:szCs w:val="16"/>
        </w:rPr>
        <w:t>.</w:t>
      </w:r>
    </w:p>
    <w:p w14:paraId="56671C68" w14:textId="77777777" w:rsidR="00C57CBF" w:rsidRPr="001C5F07" w:rsidRDefault="00C57CBF" w:rsidP="00173985">
      <w:pPr>
        <w:pStyle w:val="TextOPHIE"/>
        <w:spacing w:line="276" w:lineRule="auto"/>
        <w:jc w:val="both"/>
        <w:rPr>
          <w:rFonts w:asciiTheme="minorHAnsi" w:hAnsiTheme="minorHAnsi" w:cstheme="minorHAnsi"/>
          <w:sz w:val="24"/>
          <w:szCs w:val="24"/>
        </w:rPr>
      </w:pPr>
    </w:p>
    <w:p w14:paraId="3AAC2557" w14:textId="77777777" w:rsidR="00DB58B7" w:rsidRPr="00D47E43" w:rsidRDefault="00DB58B7" w:rsidP="00C22EB3">
      <w:pPr>
        <w:pStyle w:val="HeadingOPHIE"/>
        <w:spacing w:before="0" w:after="0"/>
        <w:rPr>
          <w:rFonts w:asciiTheme="minorHAnsi" w:hAnsiTheme="minorHAnsi" w:cstheme="minorHAnsi"/>
          <w:color w:val="auto"/>
          <w:sz w:val="36"/>
          <w:szCs w:val="36"/>
        </w:rPr>
      </w:pPr>
      <w:r w:rsidRPr="00D47E43">
        <w:rPr>
          <w:rFonts w:asciiTheme="minorHAnsi" w:hAnsiTheme="minorHAnsi" w:cstheme="minorHAnsi"/>
          <w:color w:val="auto"/>
          <w:sz w:val="36"/>
          <w:szCs w:val="36"/>
        </w:rPr>
        <w:t>Dysphagia Screening</w:t>
      </w:r>
    </w:p>
    <w:p w14:paraId="0B83EFB0" w14:textId="4973CDB7" w:rsidR="00DB58B7" w:rsidRPr="001C5F07" w:rsidRDefault="00DB58B7" w:rsidP="00C22EB3">
      <w:pPr>
        <w:pStyle w:val="TextOPHIE"/>
        <w:spacing w:line="276" w:lineRule="auto"/>
        <w:jc w:val="both"/>
        <w:rPr>
          <w:rFonts w:asciiTheme="minorHAnsi" w:hAnsiTheme="minorHAnsi" w:cstheme="minorHAnsi"/>
          <w:sz w:val="24"/>
          <w:szCs w:val="24"/>
          <w:vertAlign w:val="superscript"/>
        </w:rPr>
      </w:pPr>
      <w:r w:rsidRPr="001C5F07">
        <w:rPr>
          <w:rFonts w:asciiTheme="minorHAnsi" w:hAnsiTheme="minorHAnsi" w:cstheme="minorHAnsi"/>
          <w:sz w:val="24"/>
          <w:szCs w:val="24"/>
        </w:rPr>
        <w:t>Dysphagia, or difficulty swallowing, is common after</w:t>
      </w:r>
      <w:r w:rsidR="00D21429" w:rsidRPr="001C5F07">
        <w:rPr>
          <w:rFonts w:asciiTheme="minorHAnsi" w:hAnsiTheme="minorHAnsi" w:cstheme="minorHAnsi"/>
          <w:sz w:val="24"/>
          <w:szCs w:val="24"/>
        </w:rPr>
        <w:t xml:space="preserve"> a</w:t>
      </w:r>
      <w:r w:rsidRPr="001C5F07">
        <w:rPr>
          <w:rFonts w:asciiTheme="minorHAnsi" w:hAnsiTheme="minorHAnsi" w:cstheme="minorHAnsi"/>
          <w:sz w:val="24"/>
          <w:szCs w:val="24"/>
        </w:rPr>
        <w:t xml:space="preserve"> stroke</w:t>
      </w:r>
      <w:r w:rsidR="00D01868" w:rsidRPr="001C5F07">
        <w:rPr>
          <w:rFonts w:asciiTheme="minorHAnsi" w:hAnsiTheme="minorHAnsi" w:cstheme="minorHAnsi"/>
          <w:sz w:val="24"/>
          <w:szCs w:val="24"/>
        </w:rPr>
        <w:t xml:space="preserve"> and</w:t>
      </w:r>
      <w:r w:rsidR="00D21429" w:rsidRPr="001C5F07">
        <w:rPr>
          <w:rFonts w:asciiTheme="minorHAnsi" w:hAnsiTheme="minorHAnsi" w:cstheme="minorHAnsi"/>
          <w:sz w:val="24"/>
          <w:szCs w:val="24"/>
        </w:rPr>
        <w:t xml:space="preserve"> </w:t>
      </w:r>
      <w:r w:rsidRPr="001C5F07">
        <w:rPr>
          <w:rFonts w:asciiTheme="minorHAnsi" w:hAnsiTheme="minorHAnsi" w:cstheme="minorHAnsi"/>
          <w:sz w:val="24"/>
          <w:szCs w:val="24"/>
        </w:rPr>
        <w:t>affect</w:t>
      </w:r>
      <w:r w:rsidR="00D21429" w:rsidRPr="001C5F07">
        <w:rPr>
          <w:rFonts w:asciiTheme="minorHAnsi" w:hAnsiTheme="minorHAnsi" w:cstheme="minorHAnsi"/>
          <w:sz w:val="24"/>
          <w:szCs w:val="24"/>
        </w:rPr>
        <w:t>s</w:t>
      </w:r>
      <w:r w:rsidRPr="001C5F07">
        <w:rPr>
          <w:rFonts w:asciiTheme="minorHAnsi" w:hAnsiTheme="minorHAnsi" w:cstheme="minorHAnsi"/>
          <w:sz w:val="24"/>
          <w:szCs w:val="24"/>
        </w:rPr>
        <w:t xml:space="preserve"> </w:t>
      </w:r>
      <w:r w:rsidR="007362E3" w:rsidRPr="001C5F07">
        <w:rPr>
          <w:rFonts w:asciiTheme="minorHAnsi" w:hAnsiTheme="minorHAnsi" w:cstheme="minorHAnsi"/>
          <w:sz w:val="24"/>
          <w:szCs w:val="24"/>
        </w:rPr>
        <w:t>more than 50 percent</w:t>
      </w:r>
      <w:r w:rsidRPr="001C5F07">
        <w:rPr>
          <w:rFonts w:asciiTheme="minorHAnsi" w:hAnsiTheme="minorHAnsi" w:cstheme="minorHAnsi"/>
          <w:sz w:val="24"/>
          <w:szCs w:val="24"/>
        </w:rPr>
        <w:t xml:space="preserve"> of patients within three days after </w:t>
      </w:r>
      <w:r w:rsidR="00CD6DB4" w:rsidRPr="001C5F07">
        <w:rPr>
          <w:rFonts w:asciiTheme="minorHAnsi" w:hAnsiTheme="minorHAnsi" w:cstheme="minorHAnsi"/>
          <w:sz w:val="24"/>
          <w:szCs w:val="24"/>
        </w:rPr>
        <w:t xml:space="preserve">a </w:t>
      </w:r>
      <w:r w:rsidRPr="001C5F07">
        <w:rPr>
          <w:rFonts w:asciiTheme="minorHAnsi" w:hAnsiTheme="minorHAnsi" w:cstheme="minorHAnsi"/>
          <w:sz w:val="24"/>
          <w:szCs w:val="24"/>
        </w:rPr>
        <w:t>stroke. Early screening helps to identify stroke patients who could be vulnerable to weight loss, fluid depletion, malnutrition, and aspiration of food or liquid causing pneumonia. Patients who are unable to consume food or fluid by mouth often demonstrate poor health outcomes and experience prolonged hospital stays</w:t>
      </w:r>
      <w:r w:rsidR="005854E9" w:rsidRPr="001C5F07">
        <w:rPr>
          <w:rFonts w:asciiTheme="minorHAnsi" w:hAnsiTheme="minorHAnsi" w:cstheme="minorHAnsi"/>
          <w:sz w:val="24"/>
          <w:szCs w:val="24"/>
        </w:rPr>
        <w:t>,</w:t>
      </w:r>
      <w:r w:rsidRPr="001C5F07">
        <w:rPr>
          <w:rFonts w:asciiTheme="minorHAnsi" w:hAnsiTheme="minorHAnsi" w:cstheme="minorHAnsi"/>
          <w:sz w:val="24"/>
          <w:szCs w:val="24"/>
        </w:rPr>
        <w:t xml:space="preserve"> including post-discharge </w:t>
      </w:r>
      <w:r w:rsidR="007F6538" w:rsidRPr="001C5F07">
        <w:rPr>
          <w:rFonts w:asciiTheme="minorHAnsi" w:hAnsiTheme="minorHAnsi" w:cstheme="minorHAnsi"/>
          <w:sz w:val="24"/>
          <w:szCs w:val="24"/>
        </w:rPr>
        <w:t xml:space="preserve">treatment at </w:t>
      </w:r>
      <w:r w:rsidRPr="001C5F07">
        <w:rPr>
          <w:rFonts w:asciiTheme="minorHAnsi" w:hAnsiTheme="minorHAnsi" w:cstheme="minorHAnsi"/>
          <w:sz w:val="24"/>
          <w:szCs w:val="24"/>
        </w:rPr>
        <w:t>long-term care facilit</w:t>
      </w:r>
      <w:r w:rsidR="007F6538" w:rsidRPr="001C5F07">
        <w:rPr>
          <w:rFonts w:asciiTheme="minorHAnsi" w:hAnsiTheme="minorHAnsi" w:cstheme="minorHAnsi"/>
          <w:sz w:val="24"/>
          <w:szCs w:val="24"/>
        </w:rPr>
        <w:t>ies</w:t>
      </w:r>
      <w:r w:rsidRPr="001C5F07">
        <w:rPr>
          <w:rFonts w:asciiTheme="minorHAnsi" w:hAnsiTheme="minorHAnsi" w:cstheme="minorHAnsi"/>
          <w:sz w:val="24"/>
          <w:szCs w:val="24"/>
        </w:rPr>
        <w:t>.</w:t>
      </w:r>
    </w:p>
    <w:p w14:paraId="5F8EF566" w14:textId="77777777" w:rsidR="00DB58B7" w:rsidRPr="001C5F07" w:rsidRDefault="00DB58B7" w:rsidP="00C22EB3">
      <w:pPr>
        <w:pStyle w:val="TextOPHIE"/>
        <w:spacing w:line="276" w:lineRule="auto"/>
        <w:jc w:val="both"/>
        <w:rPr>
          <w:rFonts w:asciiTheme="minorHAnsi" w:hAnsiTheme="minorHAnsi" w:cstheme="minorHAnsi"/>
          <w:sz w:val="24"/>
          <w:szCs w:val="24"/>
        </w:rPr>
      </w:pPr>
    </w:p>
    <w:p w14:paraId="0A692851" w14:textId="77777777" w:rsidR="00DB58B7" w:rsidRPr="001C5F07" w:rsidRDefault="00DB58B7" w:rsidP="00C22EB3">
      <w:pPr>
        <w:pStyle w:val="Heading2STD"/>
        <w:spacing w:before="0" w:line="276" w:lineRule="auto"/>
        <w:jc w:val="both"/>
        <w:rPr>
          <w:rFonts w:asciiTheme="minorHAnsi" w:hAnsiTheme="minorHAnsi" w:cstheme="minorHAnsi"/>
          <w:b w:val="0"/>
          <w:sz w:val="24"/>
          <w:szCs w:val="24"/>
        </w:rPr>
      </w:pPr>
      <w:r w:rsidRPr="001C5F07">
        <w:rPr>
          <w:rFonts w:asciiTheme="minorHAnsi" w:hAnsiTheme="minorHAnsi" w:cstheme="minorHAnsi"/>
          <w:sz w:val="24"/>
          <w:szCs w:val="24"/>
        </w:rPr>
        <w:t>Dysphagia Screening Action Plan</w:t>
      </w:r>
    </w:p>
    <w:p w14:paraId="54FF0A95" w14:textId="77777777" w:rsidR="001C5F07" w:rsidRPr="001C5F07" w:rsidRDefault="001C5F07" w:rsidP="00C22EB3">
      <w:pPr>
        <w:pStyle w:val="TextOPHIE"/>
        <w:spacing w:line="276" w:lineRule="auto"/>
        <w:jc w:val="both"/>
        <w:rPr>
          <w:rFonts w:asciiTheme="minorHAnsi" w:hAnsiTheme="minorHAnsi" w:cstheme="minorHAnsi"/>
          <w:sz w:val="24"/>
          <w:szCs w:val="24"/>
        </w:rPr>
      </w:pPr>
      <w:r w:rsidRPr="001C5F07">
        <w:rPr>
          <w:rFonts w:asciiTheme="minorHAnsi" w:hAnsiTheme="minorHAnsi" w:cstheme="minorHAnsi"/>
          <w:sz w:val="24"/>
          <w:szCs w:val="24"/>
        </w:rPr>
        <w:t>Hospitals should recruit professional staff to identify an interdisciplinary Stroke Care Team to develop and integrate evidence-based dysphagia screening policies into patient care plans. The Stroke Care Team staff should include a speech therapist, occupational therapist, physical therapist, social worker, registered dietician, or nurse navigator. Additional recommendations include:</w:t>
      </w:r>
    </w:p>
    <w:p w14:paraId="5745D762" w14:textId="77777777" w:rsidR="001C5F07" w:rsidRPr="001C5F07" w:rsidRDefault="001C5F07" w:rsidP="00C22EB3">
      <w:pPr>
        <w:pStyle w:val="TextOPHIE"/>
        <w:numPr>
          <w:ilvl w:val="0"/>
          <w:numId w:val="19"/>
        </w:numPr>
        <w:spacing w:line="276" w:lineRule="auto"/>
        <w:jc w:val="both"/>
        <w:rPr>
          <w:rFonts w:asciiTheme="minorHAnsi" w:hAnsiTheme="minorHAnsi" w:cstheme="minorHAnsi"/>
          <w:sz w:val="24"/>
          <w:szCs w:val="24"/>
        </w:rPr>
      </w:pPr>
      <w:r w:rsidRPr="001C5F07">
        <w:rPr>
          <w:rFonts w:asciiTheme="minorHAnsi" w:hAnsiTheme="minorHAnsi" w:cstheme="minorHAnsi"/>
          <w:sz w:val="24"/>
          <w:szCs w:val="24"/>
        </w:rPr>
        <w:t>Staff continuously participate in trainings regarding best practices,</w:t>
      </w:r>
    </w:p>
    <w:p w14:paraId="2D64C1F7" w14:textId="77777777" w:rsidR="001C5F07" w:rsidRPr="001C5F07" w:rsidRDefault="001C5F07" w:rsidP="00C22EB3">
      <w:pPr>
        <w:pStyle w:val="TextOPHIE"/>
        <w:numPr>
          <w:ilvl w:val="0"/>
          <w:numId w:val="19"/>
        </w:numPr>
        <w:spacing w:line="276" w:lineRule="auto"/>
        <w:jc w:val="both"/>
        <w:rPr>
          <w:rFonts w:asciiTheme="minorHAnsi" w:hAnsiTheme="minorHAnsi" w:cstheme="minorHAnsi"/>
          <w:sz w:val="24"/>
          <w:szCs w:val="24"/>
        </w:rPr>
      </w:pPr>
      <w:r w:rsidRPr="001C5F07">
        <w:rPr>
          <w:rFonts w:asciiTheme="minorHAnsi" w:hAnsiTheme="minorHAnsi" w:cstheme="minorHAnsi"/>
          <w:sz w:val="24"/>
          <w:szCs w:val="24"/>
        </w:rPr>
        <w:t xml:space="preserve">Hospital quality improvement and risk management teams work closely to monitor activities, and </w:t>
      </w:r>
    </w:p>
    <w:p w14:paraId="0D71E1C6" w14:textId="77777777" w:rsidR="001C5F07" w:rsidRPr="001C5F07" w:rsidRDefault="001C5F07" w:rsidP="00C22EB3">
      <w:pPr>
        <w:pStyle w:val="TextOPHIE"/>
        <w:numPr>
          <w:ilvl w:val="0"/>
          <w:numId w:val="19"/>
        </w:numPr>
        <w:spacing w:line="276" w:lineRule="auto"/>
        <w:jc w:val="both"/>
        <w:rPr>
          <w:rFonts w:asciiTheme="minorHAnsi" w:hAnsiTheme="minorHAnsi" w:cstheme="minorHAnsi"/>
          <w:sz w:val="24"/>
          <w:szCs w:val="24"/>
        </w:rPr>
      </w:pPr>
      <w:r w:rsidRPr="001C5F07">
        <w:rPr>
          <w:rFonts w:asciiTheme="minorHAnsi" w:hAnsiTheme="minorHAnsi" w:cstheme="minorHAnsi"/>
          <w:sz w:val="24"/>
          <w:szCs w:val="24"/>
        </w:rPr>
        <w:t xml:space="preserve">Hospitals deliver recommendations for continuous quality improvement. </w:t>
      </w:r>
    </w:p>
    <w:p w14:paraId="64EF0F84" w14:textId="77777777" w:rsidR="001C5F07" w:rsidRPr="001C5F07" w:rsidRDefault="001C5F07" w:rsidP="00C22EB3">
      <w:pPr>
        <w:pStyle w:val="TextOPHIE"/>
        <w:spacing w:line="276" w:lineRule="auto"/>
        <w:jc w:val="both"/>
        <w:rPr>
          <w:rFonts w:asciiTheme="minorHAnsi" w:hAnsiTheme="minorHAnsi" w:cstheme="minorHAnsi"/>
          <w:b/>
          <w:sz w:val="24"/>
          <w:szCs w:val="24"/>
        </w:rPr>
      </w:pPr>
    </w:p>
    <w:p w14:paraId="423329B3" w14:textId="77777777" w:rsidR="001C5F07" w:rsidRPr="001C5F07" w:rsidRDefault="001C5F07" w:rsidP="00C22EB3">
      <w:pPr>
        <w:pStyle w:val="TextOPHIE"/>
        <w:spacing w:line="276" w:lineRule="auto"/>
        <w:jc w:val="both"/>
        <w:rPr>
          <w:rFonts w:asciiTheme="minorHAnsi" w:hAnsiTheme="minorHAnsi" w:cstheme="minorHAnsi"/>
          <w:bCs/>
          <w:sz w:val="24"/>
          <w:szCs w:val="24"/>
        </w:rPr>
      </w:pPr>
      <w:r w:rsidRPr="001C5F07">
        <w:rPr>
          <w:rFonts w:asciiTheme="minorHAnsi" w:hAnsiTheme="minorHAnsi" w:cstheme="minorHAnsi"/>
          <w:bCs/>
          <w:sz w:val="24"/>
          <w:szCs w:val="24"/>
        </w:rPr>
        <w:t xml:space="preserve">The percent of dysphagia screening (Figure 12) has increased from 2014 – 2019. Despite the increase in screening, dysphagia screening remains the lowest performing measure (see Figure 11). </w:t>
      </w:r>
    </w:p>
    <w:p w14:paraId="7644396A" w14:textId="77777777" w:rsidR="007A5251" w:rsidRPr="00173985" w:rsidRDefault="007A5251" w:rsidP="00C22EB3">
      <w:pPr>
        <w:pStyle w:val="TextOPHIE"/>
        <w:spacing w:line="276" w:lineRule="auto"/>
        <w:jc w:val="both"/>
        <w:rPr>
          <w:rFonts w:asciiTheme="minorHAnsi" w:hAnsiTheme="minorHAnsi" w:cstheme="minorHAnsi"/>
          <w:bCs/>
          <w:sz w:val="24"/>
          <w:szCs w:val="24"/>
        </w:rPr>
      </w:pPr>
    </w:p>
    <w:p w14:paraId="34C9D781" w14:textId="77777777" w:rsidR="005E680C" w:rsidRDefault="005E680C" w:rsidP="00C22EB3">
      <w:pPr>
        <w:pStyle w:val="TextOPHIE"/>
        <w:spacing w:line="276" w:lineRule="auto"/>
        <w:rPr>
          <w:rFonts w:asciiTheme="minorHAnsi" w:hAnsiTheme="minorHAnsi" w:cstheme="minorHAnsi"/>
          <w:b/>
          <w:sz w:val="24"/>
          <w:szCs w:val="22"/>
        </w:rPr>
      </w:pPr>
      <w:r>
        <w:rPr>
          <w:rFonts w:asciiTheme="minorHAnsi" w:hAnsiTheme="minorHAnsi" w:cstheme="minorHAnsi"/>
          <w:b/>
          <w:sz w:val="24"/>
          <w:szCs w:val="22"/>
        </w:rPr>
        <w:t xml:space="preserve">Screening for Dysphagia </w:t>
      </w:r>
      <w:r w:rsidRPr="00EB70C1">
        <w:rPr>
          <w:rFonts w:asciiTheme="minorHAnsi" w:hAnsiTheme="minorHAnsi" w:cstheme="minorHAnsi"/>
          <w:b/>
          <w:sz w:val="24"/>
          <w:szCs w:val="22"/>
        </w:rPr>
        <w:t>is one of the recommendations for statewide performance improvement.</w:t>
      </w:r>
    </w:p>
    <w:p w14:paraId="3F26C68C" w14:textId="3B28AC7F" w:rsidR="004A36A1" w:rsidRPr="008E6FA8" w:rsidRDefault="004A36A1" w:rsidP="00C22EB3">
      <w:pPr>
        <w:pStyle w:val="TextOPHIE"/>
        <w:spacing w:after="120" w:line="276" w:lineRule="auto"/>
        <w:ind w:right="990"/>
        <w:rPr>
          <w:rFonts w:asciiTheme="minorHAnsi" w:hAnsiTheme="minorHAnsi" w:cstheme="minorHAnsi"/>
          <w:b/>
          <w:sz w:val="24"/>
        </w:rPr>
      </w:pPr>
      <w:r w:rsidRPr="008E6FA8">
        <w:rPr>
          <w:rFonts w:asciiTheme="minorHAnsi" w:hAnsiTheme="minorHAnsi" w:cstheme="minorHAnsi"/>
          <w:b/>
          <w:bCs/>
          <w:sz w:val="24"/>
        </w:rPr>
        <w:t>Figure 12. Stroke Patients Who Undergo Screening for Dysphagia, 201</w:t>
      </w:r>
      <w:r w:rsidR="00D87EBF">
        <w:rPr>
          <w:rFonts w:asciiTheme="minorHAnsi" w:hAnsiTheme="minorHAnsi" w:cstheme="minorHAnsi"/>
          <w:b/>
          <w:bCs/>
          <w:sz w:val="24"/>
        </w:rPr>
        <w:t>4</w:t>
      </w:r>
      <w:r w:rsidRPr="008E6FA8">
        <w:rPr>
          <w:rFonts w:asciiTheme="minorHAnsi" w:hAnsiTheme="minorHAnsi" w:cstheme="minorHAnsi"/>
          <w:b/>
          <w:bCs/>
          <w:sz w:val="24"/>
        </w:rPr>
        <w:t>-201</w:t>
      </w:r>
      <w:r w:rsidR="00D87EBF">
        <w:rPr>
          <w:rFonts w:asciiTheme="minorHAnsi" w:hAnsiTheme="minorHAnsi" w:cstheme="minorHAnsi"/>
          <w:b/>
          <w:bCs/>
          <w:sz w:val="24"/>
        </w:rPr>
        <w:t>9</w:t>
      </w:r>
    </w:p>
    <w:p w14:paraId="4BC4C996" w14:textId="0BE6BCFC" w:rsidR="004A36A1" w:rsidRDefault="004A36A1" w:rsidP="00616850">
      <w:pPr>
        <w:pStyle w:val="TextOPHIE"/>
        <w:spacing w:line="276" w:lineRule="auto"/>
        <w:rPr>
          <w:rFonts w:asciiTheme="minorHAnsi" w:hAnsiTheme="minorHAnsi" w:cstheme="minorHAnsi"/>
          <w:b/>
          <w:sz w:val="24"/>
          <w:szCs w:val="22"/>
        </w:rPr>
      </w:pPr>
      <w:r>
        <w:rPr>
          <w:noProof/>
        </w:rPr>
        <w:lastRenderedPageBreak/>
        <w:drawing>
          <wp:inline distT="0" distB="0" distL="0" distR="0" wp14:anchorId="01BFBCA1" wp14:editId="2B2CB462">
            <wp:extent cx="6720840" cy="1645920"/>
            <wp:effectExtent l="0" t="0" r="3810" b="11430"/>
            <wp:docPr id="48" name="Chart 48">
              <a:extLst xmlns:a="http://schemas.openxmlformats.org/drawingml/2006/main">
                <a:ext uri="{FF2B5EF4-FFF2-40B4-BE49-F238E27FC236}">
                  <a16:creationId xmlns:a16="http://schemas.microsoft.com/office/drawing/2014/main" id="{7A137B0B-3C58-4E06-888D-75B3F76E0D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9A8CB4B" w14:textId="0978E963" w:rsidR="006A39E5" w:rsidRDefault="00EA39B2" w:rsidP="00616850">
      <w:pPr>
        <w:tabs>
          <w:tab w:val="left" w:pos="9270"/>
        </w:tabs>
        <w:spacing w:before="60" w:after="0"/>
        <w:rPr>
          <w:rFonts w:cstheme="minorHAnsi"/>
          <w:sz w:val="16"/>
          <w:szCs w:val="16"/>
        </w:rPr>
      </w:pPr>
      <w:r w:rsidRPr="00044541">
        <w:rPr>
          <w:rFonts w:cstheme="minorHAnsi"/>
          <w:b/>
          <w:bCs/>
          <w:sz w:val="16"/>
          <w:szCs w:val="16"/>
        </w:rPr>
        <w:t xml:space="preserve">Source: </w:t>
      </w:r>
      <w:r w:rsidR="00AB3B67">
        <w:rPr>
          <w:rFonts w:cstheme="minorHAnsi"/>
          <w:sz w:val="16"/>
          <w:szCs w:val="16"/>
        </w:rPr>
        <w:t xml:space="preserve">American Stroke Association. </w:t>
      </w:r>
      <w:r w:rsidR="00A12D51" w:rsidRPr="008E6FA8">
        <w:rPr>
          <w:rFonts w:cstheme="minorHAnsi"/>
          <w:i/>
          <w:iCs/>
          <w:sz w:val="16"/>
          <w:szCs w:val="16"/>
        </w:rPr>
        <w:t xml:space="preserve">Get </w:t>
      </w:r>
      <w:proofErr w:type="gramStart"/>
      <w:r w:rsidR="00A12D51" w:rsidRPr="008E6FA8">
        <w:rPr>
          <w:rFonts w:cstheme="minorHAnsi"/>
          <w:i/>
          <w:iCs/>
          <w:sz w:val="16"/>
          <w:szCs w:val="16"/>
        </w:rPr>
        <w:t>With</w:t>
      </w:r>
      <w:proofErr w:type="gramEnd"/>
      <w:r w:rsidR="00A12D51" w:rsidRPr="008E6FA8">
        <w:rPr>
          <w:rFonts w:cstheme="minorHAnsi"/>
          <w:i/>
          <w:iCs/>
          <w:sz w:val="16"/>
          <w:szCs w:val="16"/>
        </w:rPr>
        <w:t xml:space="preserve"> The Guidelines</w:t>
      </w:r>
      <w:r w:rsidR="00583823">
        <w:rPr>
          <w:rFonts w:cstheme="minorHAnsi"/>
          <w:i/>
          <w:iCs/>
          <w:sz w:val="16"/>
          <w:szCs w:val="16"/>
        </w:rPr>
        <w:t xml:space="preserve"> - Stroke</w:t>
      </w:r>
      <w:r w:rsidR="00A12D51" w:rsidRPr="008E6FA8">
        <w:rPr>
          <w:rFonts w:cstheme="minorHAnsi"/>
          <w:i/>
          <w:iCs/>
          <w:sz w:val="16"/>
          <w:szCs w:val="16"/>
        </w:rPr>
        <w:t xml:space="preserve"> Data</w:t>
      </w:r>
      <w:r w:rsidR="00A12D51">
        <w:rPr>
          <w:rFonts w:cstheme="minorHAnsi"/>
          <w:i/>
          <w:iCs/>
          <w:sz w:val="16"/>
          <w:szCs w:val="16"/>
        </w:rPr>
        <w:t xml:space="preserve"> Registry</w:t>
      </w:r>
      <w:r w:rsidR="00A12D51" w:rsidRPr="008E6FA8">
        <w:rPr>
          <w:rFonts w:cstheme="minorHAnsi"/>
          <w:i/>
          <w:iCs/>
          <w:sz w:val="16"/>
          <w:szCs w:val="16"/>
        </w:rPr>
        <w:t xml:space="preserve"> System</w:t>
      </w:r>
      <w:r w:rsidR="00A12D51">
        <w:rPr>
          <w:rFonts w:cstheme="minorHAnsi"/>
          <w:sz w:val="16"/>
          <w:szCs w:val="16"/>
        </w:rPr>
        <w:t xml:space="preserve">. </w:t>
      </w:r>
      <w:r w:rsidRPr="00044541">
        <w:rPr>
          <w:rFonts w:cstheme="minorHAnsi"/>
          <w:sz w:val="16"/>
          <w:szCs w:val="16"/>
        </w:rPr>
        <w:t>Atlanta, Georgia: U.S. Department of Health and Human Services, Centers for Disease Control and Prevention, 201</w:t>
      </w:r>
      <w:r w:rsidR="00A9246F">
        <w:rPr>
          <w:rFonts w:cstheme="minorHAnsi"/>
          <w:sz w:val="16"/>
          <w:szCs w:val="16"/>
        </w:rPr>
        <w:t>9</w:t>
      </w:r>
      <w:r w:rsidRPr="00044541">
        <w:rPr>
          <w:rFonts w:cstheme="minorHAnsi"/>
          <w:sz w:val="16"/>
          <w:szCs w:val="16"/>
        </w:rPr>
        <w:t>.</w:t>
      </w:r>
    </w:p>
    <w:p w14:paraId="5D5EA43A" w14:textId="77777777" w:rsidR="001B3C83" w:rsidRPr="001C5F07" w:rsidRDefault="001B3C83" w:rsidP="00943E61">
      <w:pPr>
        <w:spacing w:after="0"/>
        <w:ind w:left="720" w:right="1206"/>
        <w:rPr>
          <w:rFonts w:cstheme="minorHAnsi"/>
          <w:sz w:val="24"/>
          <w:szCs w:val="24"/>
        </w:rPr>
      </w:pPr>
    </w:p>
    <w:p w14:paraId="5C2DB117" w14:textId="524A0DC5" w:rsidR="00BD553C" w:rsidRPr="00D47E43" w:rsidRDefault="00BD553C" w:rsidP="00C22EB3">
      <w:pPr>
        <w:pStyle w:val="Heading1STD0"/>
        <w:spacing w:before="0" w:after="0" w:line="276" w:lineRule="auto"/>
        <w:rPr>
          <w:rFonts w:cstheme="minorHAnsi"/>
          <w:sz w:val="36"/>
          <w:szCs w:val="36"/>
        </w:rPr>
      </w:pPr>
      <w:r w:rsidRPr="00D47E43">
        <w:rPr>
          <w:rFonts w:asciiTheme="minorHAnsi" w:hAnsiTheme="minorHAnsi" w:cstheme="minorHAnsi"/>
          <w:sz w:val="36"/>
          <w:szCs w:val="36"/>
        </w:rPr>
        <w:t>Stroke Education</w:t>
      </w:r>
    </w:p>
    <w:p w14:paraId="53A51E22" w14:textId="5D7999D5" w:rsidR="002F0F61" w:rsidRPr="002F0F61" w:rsidRDefault="002F0F61" w:rsidP="00C22EB3">
      <w:pPr>
        <w:tabs>
          <w:tab w:val="left" w:pos="3360"/>
        </w:tabs>
        <w:spacing w:after="0"/>
        <w:jc w:val="both"/>
        <w:rPr>
          <w:rFonts w:cstheme="minorHAnsi"/>
          <w:sz w:val="24"/>
        </w:rPr>
      </w:pPr>
      <w:r>
        <w:rPr>
          <w:rFonts w:cstheme="minorHAnsi"/>
          <w:sz w:val="24"/>
        </w:rPr>
        <w:t>Providing s</w:t>
      </w:r>
      <w:r w:rsidRPr="00AA5E5F">
        <w:rPr>
          <w:rFonts w:cstheme="minorHAnsi"/>
          <w:sz w:val="24"/>
        </w:rPr>
        <w:t xml:space="preserve">troke education </w:t>
      </w:r>
      <w:r>
        <w:rPr>
          <w:rFonts w:cstheme="minorHAnsi"/>
          <w:sz w:val="24"/>
        </w:rPr>
        <w:t xml:space="preserve">about necessary lifestyle changes, medication, therapy options, etc. to stroke patients is </w:t>
      </w:r>
      <w:r w:rsidRPr="00AA5E5F">
        <w:rPr>
          <w:rFonts w:cstheme="minorHAnsi"/>
          <w:sz w:val="24"/>
        </w:rPr>
        <w:t>important</w:t>
      </w:r>
      <w:r>
        <w:rPr>
          <w:rFonts w:cstheme="minorHAnsi"/>
          <w:sz w:val="24"/>
        </w:rPr>
        <w:t xml:space="preserve"> to improve patient outcomes. </w:t>
      </w:r>
      <w:r>
        <w:rPr>
          <w:rFonts w:cs="Times New Roman"/>
          <w:sz w:val="24"/>
        </w:rPr>
        <w:t>I</w:t>
      </w:r>
      <w:r w:rsidRPr="00AA5E5F">
        <w:rPr>
          <w:rFonts w:cs="Times New Roman"/>
          <w:sz w:val="24"/>
        </w:rPr>
        <w:t xml:space="preserve">ncreasing </w:t>
      </w:r>
      <w:r>
        <w:rPr>
          <w:rFonts w:cs="Times New Roman"/>
          <w:sz w:val="24"/>
        </w:rPr>
        <w:t xml:space="preserve">efforts to provide stroke education </w:t>
      </w:r>
      <w:r w:rsidRPr="00AA5E5F">
        <w:rPr>
          <w:rFonts w:cs="Times New Roman"/>
          <w:sz w:val="24"/>
        </w:rPr>
        <w:t xml:space="preserve">by stroke </w:t>
      </w:r>
      <w:r>
        <w:rPr>
          <w:rFonts w:cs="Times New Roman"/>
          <w:sz w:val="24"/>
        </w:rPr>
        <w:t>centers</w:t>
      </w:r>
      <w:r w:rsidRPr="00AA5E5F">
        <w:rPr>
          <w:rFonts w:cs="Times New Roman"/>
          <w:sz w:val="24"/>
        </w:rPr>
        <w:t xml:space="preserve"> </w:t>
      </w:r>
      <w:r>
        <w:rPr>
          <w:rFonts w:cs="Times New Roman"/>
          <w:sz w:val="24"/>
        </w:rPr>
        <w:t>is</w:t>
      </w:r>
      <w:r w:rsidRPr="00AA5E5F">
        <w:rPr>
          <w:rFonts w:cs="Times New Roman"/>
          <w:sz w:val="24"/>
        </w:rPr>
        <w:t xml:space="preserve"> </w:t>
      </w:r>
      <w:r>
        <w:rPr>
          <w:rFonts w:cs="Times New Roman"/>
          <w:sz w:val="24"/>
        </w:rPr>
        <w:t>essential in</w:t>
      </w:r>
      <w:r w:rsidRPr="00AA5E5F">
        <w:rPr>
          <w:rFonts w:cs="Times New Roman"/>
          <w:sz w:val="24"/>
        </w:rPr>
        <w:t xml:space="preserve"> raising the stroke education performance measure</w:t>
      </w:r>
      <w:r>
        <w:rPr>
          <w:rFonts w:cs="Times New Roman"/>
          <w:sz w:val="24"/>
        </w:rPr>
        <w:t xml:space="preserve">. Education provided to patients should include </w:t>
      </w:r>
      <w:r w:rsidRPr="00AA5E5F">
        <w:rPr>
          <w:rFonts w:cs="Times New Roman"/>
          <w:sz w:val="24"/>
        </w:rPr>
        <w:t xml:space="preserve">prevention, treatment, </w:t>
      </w:r>
      <w:r>
        <w:rPr>
          <w:rFonts w:cs="Times New Roman"/>
          <w:sz w:val="24"/>
        </w:rPr>
        <w:t xml:space="preserve">and </w:t>
      </w:r>
      <w:r w:rsidRPr="00AA5E5F">
        <w:rPr>
          <w:rFonts w:cs="Times New Roman"/>
          <w:sz w:val="24"/>
        </w:rPr>
        <w:t>rehabilitation</w:t>
      </w:r>
      <w:r>
        <w:rPr>
          <w:rFonts w:cs="Times New Roman"/>
          <w:sz w:val="24"/>
        </w:rPr>
        <w:t xml:space="preserve">. This education will </w:t>
      </w:r>
      <w:r w:rsidRPr="00AA5E5F">
        <w:rPr>
          <w:rFonts w:cs="Times New Roman"/>
          <w:sz w:val="24"/>
        </w:rPr>
        <w:t>decreas</w:t>
      </w:r>
      <w:r>
        <w:rPr>
          <w:rFonts w:cs="Times New Roman"/>
          <w:sz w:val="24"/>
        </w:rPr>
        <w:t>e</w:t>
      </w:r>
      <w:r w:rsidRPr="00AA5E5F">
        <w:rPr>
          <w:rFonts w:cs="Times New Roman"/>
          <w:sz w:val="24"/>
        </w:rPr>
        <w:t xml:space="preserve"> readmission</w:t>
      </w:r>
      <w:r>
        <w:rPr>
          <w:rFonts w:cs="Times New Roman"/>
          <w:sz w:val="24"/>
        </w:rPr>
        <w:t xml:space="preserve"> </w:t>
      </w:r>
      <w:r w:rsidRPr="00AA5E5F">
        <w:rPr>
          <w:rFonts w:cs="Times New Roman"/>
          <w:sz w:val="24"/>
        </w:rPr>
        <w:t>and re-occurrenc</w:t>
      </w:r>
      <w:r>
        <w:rPr>
          <w:rFonts w:cs="Times New Roman"/>
          <w:sz w:val="24"/>
        </w:rPr>
        <w:t xml:space="preserve">e. </w:t>
      </w:r>
      <w:r w:rsidRPr="00AA5E5F">
        <w:rPr>
          <w:rFonts w:cs="Times New Roman"/>
          <w:sz w:val="24"/>
        </w:rPr>
        <w:t>Nevadan</w:t>
      </w:r>
      <w:r>
        <w:rPr>
          <w:rFonts w:cs="Times New Roman"/>
          <w:sz w:val="24"/>
        </w:rPr>
        <w:t>s</w:t>
      </w:r>
      <w:r w:rsidRPr="00AA5E5F">
        <w:rPr>
          <w:rFonts w:cs="Times New Roman"/>
          <w:sz w:val="24"/>
        </w:rPr>
        <w:t xml:space="preserve"> will benefit from a coordinated statewide effort to increase</w:t>
      </w:r>
      <w:r>
        <w:rPr>
          <w:rFonts w:cs="Times New Roman"/>
          <w:sz w:val="24"/>
        </w:rPr>
        <w:t xml:space="preserve"> awareness regarding early</w:t>
      </w:r>
      <w:r w:rsidRPr="00AA5E5F">
        <w:rPr>
          <w:rFonts w:cs="Times New Roman"/>
          <w:sz w:val="24"/>
        </w:rPr>
        <w:t xml:space="preserve"> signs of </w:t>
      </w:r>
      <w:r>
        <w:rPr>
          <w:rFonts w:cs="Times New Roman"/>
          <w:sz w:val="24"/>
        </w:rPr>
        <w:t xml:space="preserve">a </w:t>
      </w:r>
      <w:r w:rsidRPr="00AA5E5F">
        <w:rPr>
          <w:rFonts w:cs="Times New Roman"/>
          <w:sz w:val="24"/>
        </w:rPr>
        <w:t>stroke</w:t>
      </w:r>
      <w:r>
        <w:rPr>
          <w:rFonts w:cs="Times New Roman"/>
          <w:sz w:val="24"/>
        </w:rPr>
        <w:t xml:space="preserve">. Early identification of stroke symptoms is essential to accessing appropriate critical care and improving outcomes. </w:t>
      </w:r>
      <w:r w:rsidRPr="00AA5E5F">
        <w:rPr>
          <w:rFonts w:cs="Times New Roman"/>
          <w:sz w:val="24"/>
        </w:rPr>
        <w:t xml:space="preserve"> </w:t>
      </w:r>
      <w:r>
        <w:rPr>
          <w:rFonts w:cs="Times New Roman"/>
          <w:sz w:val="24"/>
        </w:rPr>
        <w:t xml:space="preserve">The warning signs of a stroke include: </w:t>
      </w:r>
    </w:p>
    <w:p w14:paraId="0081EBD3" w14:textId="77777777" w:rsidR="002F0F61" w:rsidRPr="00AA5E5F" w:rsidRDefault="002F0F61" w:rsidP="002F0F61">
      <w:pPr>
        <w:pStyle w:val="Style1"/>
        <w:numPr>
          <w:ilvl w:val="0"/>
          <w:numId w:val="17"/>
        </w:numPr>
        <w:spacing w:line="276" w:lineRule="auto"/>
        <w:rPr>
          <w:rFonts w:asciiTheme="minorHAnsi" w:hAnsiTheme="minorHAnsi"/>
          <w:b w:val="0"/>
          <w:color w:val="auto"/>
          <w:sz w:val="24"/>
          <w:szCs w:val="24"/>
        </w:rPr>
      </w:pPr>
      <w:r w:rsidRPr="00AA5E5F">
        <w:rPr>
          <w:rFonts w:asciiTheme="minorHAnsi" w:hAnsiTheme="minorHAnsi"/>
          <w:b w:val="0"/>
          <w:color w:val="auto"/>
          <w:sz w:val="24"/>
          <w:szCs w:val="24"/>
        </w:rPr>
        <w:t>Sudden numbness or weakness of the face, arm, or leg, especially on one side of the body</w:t>
      </w:r>
      <w:r>
        <w:rPr>
          <w:rFonts w:asciiTheme="minorHAnsi" w:hAnsiTheme="minorHAnsi"/>
          <w:b w:val="0"/>
          <w:color w:val="auto"/>
          <w:sz w:val="24"/>
          <w:szCs w:val="24"/>
        </w:rPr>
        <w:t>.</w:t>
      </w:r>
    </w:p>
    <w:p w14:paraId="1340BF98" w14:textId="77777777" w:rsidR="002F0F61" w:rsidRPr="00AA5E5F" w:rsidRDefault="002F0F61" w:rsidP="002F0F61">
      <w:pPr>
        <w:pStyle w:val="Style1"/>
        <w:numPr>
          <w:ilvl w:val="0"/>
          <w:numId w:val="17"/>
        </w:numPr>
        <w:spacing w:line="276" w:lineRule="auto"/>
        <w:rPr>
          <w:rFonts w:asciiTheme="minorHAnsi" w:hAnsiTheme="minorHAnsi"/>
          <w:b w:val="0"/>
          <w:color w:val="auto"/>
          <w:sz w:val="24"/>
          <w:szCs w:val="24"/>
        </w:rPr>
      </w:pPr>
      <w:r w:rsidRPr="00AA5E5F">
        <w:rPr>
          <w:rFonts w:asciiTheme="minorHAnsi" w:hAnsiTheme="minorHAnsi"/>
          <w:b w:val="0"/>
          <w:color w:val="auto"/>
          <w:sz w:val="24"/>
          <w:szCs w:val="24"/>
        </w:rPr>
        <w:t>Sudden confusion, trouble speaking or understanding</w:t>
      </w:r>
      <w:r>
        <w:rPr>
          <w:rFonts w:asciiTheme="minorHAnsi" w:hAnsiTheme="minorHAnsi"/>
          <w:b w:val="0"/>
          <w:color w:val="auto"/>
          <w:sz w:val="24"/>
          <w:szCs w:val="24"/>
        </w:rPr>
        <w:t>.</w:t>
      </w:r>
    </w:p>
    <w:p w14:paraId="3602D7B4" w14:textId="77777777" w:rsidR="002F0F61" w:rsidRPr="00AA5E5F" w:rsidRDefault="002F0F61" w:rsidP="002F0F61">
      <w:pPr>
        <w:pStyle w:val="Style1"/>
        <w:numPr>
          <w:ilvl w:val="0"/>
          <w:numId w:val="17"/>
        </w:numPr>
        <w:spacing w:line="276" w:lineRule="auto"/>
        <w:rPr>
          <w:rFonts w:asciiTheme="minorHAnsi" w:hAnsiTheme="minorHAnsi"/>
          <w:b w:val="0"/>
          <w:color w:val="auto"/>
          <w:sz w:val="24"/>
          <w:szCs w:val="24"/>
        </w:rPr>
      </w:pPr>
      <w:r w:rsidRPr="00AA5E5F">
        <w:rPr>
          <w:rFonts w:asciiTheme="minorHAnsi" w:hAnsiTheme="minorHAnsi"/>
          <w:b w:val="0"/>
          <w:color w:val="auto"/>
          <w:sz w:val="24"/>
          <w:szCs w:val="24"/>
        </w:rPr>
        <w:t>Sudden trouble walking, dizziness, loss of balance, and/or coordination</w:t>
      </w:r>
      <w:r>
        <w:rPr>
          <w:rFonts w:asciiTheme="minorHAnsi" w:hAnsiTheme="minorHAnsi"/>
          <w:b w:val="0"/>
          <w:color w:val="auto"/>
          <w:sz w:val="24"/>
          <w:szCs w:val="24"/>
        </w:rPr>
        <w:t>.</w:t>
      </w:r>
    </w:p>
    <w:p w14:paraId="2619DD2F" w14:textId="77777777" w:rsidR="002F0F61" w:rsidRDefault="002F0F61" w:rsidP="002F0F61">
      <w:pPr>
        <w:pStyle w:val="Style1"/>
        <w:numPr>
          <w:ilvl w:val="0"/>
          <w:numId w:val="17"/>
        </w:numPr>
        <w:spacing w:line="276" w:lineRule="auto"/>
        <w:rPr>
          <w:rFonts w:asciiTheme="minorHAnsi" w:hAnsiTheme="minorHAnsi"/>
          <w:b w:val="0"/>
          <w:color w:val="auto"/>
          <w:sz w:val="24"/>
          <w:szCs w:val="24"/>
        </w:rPr>
      </w:pPr>
      <w:r w:rsidRPr="00AA5E5F">
        <w:rPr>
          <w:rFonts w:asciiTheme="minorHAnsi" w:hAnsiTheme="minorHAnsi"/>
          <w:b w:val="0"/>
          <w:color w:val="auto"/>
          <w:sz w:val="24"/>
          <w:szCs w:val="24"/>
        </w:rPr>
        <w:t>Sudden severe headache with no known cause</w:t>
      </w:r>
      <w:r>
        <w:rPr>
          <w:rFonts w:asciiTheme="minorHAnsi" w:hAnsiTheme="minorHAnsi"/>
          <w:b w:val="0"/>
          <w:color w:val="auto"/>
          <w:sz w:val="24"/>
          <w:szCs w:val="24"/>
        </w:rPr>
        <w:t>.</w:t>
      </w:r>
    </w:p>
    <w:p w14:paraId="49472C7D" w14:textId="77777777" w:rsidR="002F0F61" w:rsidRPr="00576DE7" w:rsidRDefault="002F0F61" w:rsidP="002F0F61">
      <w:pPr>
        <w:pStyle w:val="Style1"/>
        <w:spacing w:line="276" w:lineRule="auto"/>
        <w:rPr>
          <w:rFonts w:asciiTheme="minorHAnsi" w:hAnsiTheme="minorHAnsi"/>
          <w:b w:val="0"/>
          <w:color w:val="auto"/>
          <w:sz w:val="24"/>
          <w:szCs w:val="24"/>
        </w:rPr>
      </w:pPr>
      <w:r>
        <w:rPr>
          <w:rFonts w:asciiTheme="minorHAnsi" w:hAnsiTheme="minorHAnsi"/>
          <w:b w:val="0"/>
          <w:color w:val="auto"/>
          <w:sz w:val="24"/>
          <w:szCs w:val="24"/>
        </w:rPr>
        <w:t xml:space="preserve">Education should also be conducted regarding preventive behaviors and lifestyle changes to decrease the chance an individual will experience additional strokes. </w:t>
      </w:r>
    </w:p>
    <w:p w14:paraId="4A829E23" w14:textId="77777777" w:rsidR="002F0F61" w:rsidRPr="00DB6DA8" w:rsidRDefault="002F0F61" w:rsidP="002F0F61">
      <w:pPr>
        <w:pStyle w:val="Style1"/>
        <w:spacing w:line="276" w:lineRule="auto"/>
        <w:ind w:left="720"/>
        <w:rPr>
          <w:rFonts w:asciiTheme="minorHAnsi" w:hAnsiTheme="minorHAnsi"/>
          <w:b w:val="0"/>
          <w:color w:val="auto"/>
          <w:sz w:val="20"/>
          <w:szCs w:val="20"/>
        </w:rPr>
      </w:pPr>
    </w:p>
    <w:p w14:paraId="0FF97FAE" w14:textId="77777777" w:rsidR="002F0F61" w:rsidRDefault="002F0F61" w:rsidP="002F0F61">
      <w:pPr>
        <w:spacing w:after="0"/>
        <w:jc w:val="both"/>
        <w:rPr>
          <w:rFonts w:cstheme="minorHAnsi"/>
          <w:sz w:val="24"/>
        </w:rPr>
      </w:pPr>
      <w:r>
        <w:rPr>
          <w:rFonts w:cstheme="minorHAnsi"/>
          <w:sz w:val="24"/>
        </w:rPr>
        <w:t xml:space="preserve">Figure 13 indicates the percent of patients provided with education during a hospital stay fluctuated between 2014 to 2019, demonstrating hospitals need to develop a system to provide consistent education to patients with a stroke. </w:t>
      </w:r>
    </w:p>
    <w:p w14:paraId="27013C50" w14:textId="7573A153" w:rsidR="007A5251" w:rsidRDefault="007A5251" w:rsidP="00173985">
      <w:pPr>
        <w:spacing w:after="0" w:line="240" w:lineRule="auto"/>
        <w:jc w:val="both"/>
        <w:rPr>
          <w:rFonts w:cstheme="minorHAnsi"/>
          <w:sz w:val="24"/>
        </w:rPr>
      </w:pPr>
    </w:p>
    <w:p w14:paraId="0E625D8E" w14:textId="713777A2" w:rsidR="001C19BD" w:rsidRPr="00B80B4C" w:rsidRDefault="00131991" w:rsidP="00AC014B">
      <w:pPr>
        <w:tabs>
          <w:tab w:val="left" w:pos="3360"/>
        </w:tabs>
        <w:spacing w:after="60" w:line="240" w:lineRule="auto"/>
        <w:ind w:right="990"/>
        <w:rPr>
          <w:rFonts w:cstheme="minorHAnsi"/>
          <w:b/>
          <w:bCs/>
          <w:sz w:val="24"/>
        </w:rPr>
      </w:pPr>
      <w:r w:rsidRPr="00131991">
        <w:rPr>
          <w:rFonts w:cstheme="minorHAnsi"/>
          <w:b/>
          <w:bCs/>
          <w:sz w:val="24"/>
        </w:rPr>
        <w:t xml:space="preserve">Figure 13. Patients </w:t>
      </w:r>
      <w:r w:rsidR="00EF038F">
        <w:rPr>
          <w:rFonts w:cstheme="minorHAnsi"/>
          <w:b/>
          <w:bCs/>
          <w:sz w:val="24"/>
        </w:rPr>
        <w:t xml:space="preserve">Provided with Education on </w:t>
      </w:r>
      <w:r w:rsidRPr="00131991">
        <w:rPr>
          <w:rFonts w:cstheme="minorHAnsi"/>
          <w:b/>
          <w:bCs/>
          <w:sz w:val="24"/>
        </w:rPr>
        <w:t>Stroke or TIA</w:t>
      </w:r>
      <w:r w:rsidR="00365A4C">
        <w:rPr>
          <w:rFonts w:cstheme="minorHAnsi"/>
          <w:b/>
          <w:bCs/>
          <w:sz w:val="24"/>
        </w:rPr>
        <w:t xml:space="preserve"> during the Hospital Stay</w:t>
      </w:r>
      <w:r w:rsidRPr="00131991">
        <w:rPr>
          <w:rFonts w:cstheme="minorHAnsi"/>
          <w:b/>
          <w:bCs/>
          <w:sz w:val="24"/>
        </w:rPr>
        <w:t>, 201</w:t>
      </w:r>
      <w:r w:rsidR="003B3327">
        <w:rPr>
          <w:rFonts w:cstheme="minorHAnsi"/>
          <w:b/>
          <w:bCs/>
          <w:sz w:val="24"/>
        </w:rPr>
        <w:t>4 - 2019</w:t>
      </w:r>
    </w:p>
    <w:p w14:paraId="6EABC3C2" w14:textId="09EA673B" w:rsidR="00811A15" w:rsidRDefault="00805413" w:rsidP="00792B88">
      <w:pPr>
        <w:spacing w:after="0"/>
        <w:rPr>
          <w:rFonts w:cstheme="minorHAnsi"/>
        </w:rPr>
      </w:pPr>
      <w:r>
        <w:rPr>
          <w:noProof/>
        </w:rPr>
        <w:drawing>
          <wp:inline distT="0" distB="0" distL="0" distR="0" wp14:anchorId="2F3E12A4" wp14:editId="3E8CAE34">
            <wp:extent cx="6720840" cy="1645920"/>
            <wp:effectExtent l="0" t="0" r="3810" b="11430"/>
            <wp:docPr id="47" name="Chart 47">
              <a:extLst xmlns:a="http://schemas.openxmlformats.org/drawingml/2006/main">
                <a:ext uri="{FF2B5EF4-FFF2-40B4-BE49-F238E27FC236}">
                  <a16:creationId xmlns:a16="http://schemas.microsoft.com/office/drawing/2014/main" id="{258D7C80-1C6F-486B-8026-FB82728F58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845C0B1" w14:textId="3D801382" w:rsidR="003F282B" w:rsidRDefault="00472D4F" w:rsidP="00616850">
      <w:pPr>
        <w:spacing w:before="60" w:after="0" w:line="240" w:lineRule="auto"/>
        <w:rPr>
          <w:rFonts w:cstheme="minorHAnsi"/>
          <w:sz w:val="16"/>
          <w:szCs w:val="16"/>
        </w:rPr>
      </w:pPr>
      <w:r w:rsidRPr="00044541">
        <w:rPr>
          <w:rFonts w:cstheme="minorHAnsi"/>
          <w:b/>
          <w:bCs/>
          <w:sz w:val="16"/>
          <w:szCs w:val="16"/>
        </w:rPr>
        <w:t xml:space="preserve">Source: </w:t>
      </w:r>
      <w:r>
        <w:rPr>
          <w:rFonts w:cstheme="minorHAnsi"/>
          <w:sz w:val="16"/>
          <w:szCs w:val="16"/>
        </w:rPr>
        <w:t xml:space="preserve">American Stroke Association. </w:t>
      </w:r>
      <w:r w:rsidRPr="008E6FA8">
        <w:rPr>
          <w:rFonts w:cstheme="minorHAnsi"/>
          <w:i/>
          <w:iCs/>
          <w:sz w:val="16"/>
          <w:szCs w:val="16"/>
        </w:rPr>
        <w:t xml:space="preserve">Get </w:t>
      </w:r>
      <w:proofErr w:type="gramStart"/>
      <w:r w:rsidRPr="008E6FA8">
        <w:rPr>
          <w:rFonts w:cstheme="minorHAnsi"/>
          <w:i/>
          <w:iCs/>
          <w:sz w:val="16"/>
          <w:szCs w:val="16"/>
        </w:rPr>
        <w:t>With</w:t>
      </w:r>
      <w:proofErr w:type="gramEnd"/>
      <w:r w:rsidRPr="008E6FA8">
        <w:rPr>
          <w:rFonts w:cstheme="minorHAnsi"/>
          <w:i/>
          <w:iCs/>
          <w:sz w:val="16"/>
          <w:szCs w:val="16"/>
        </w:rPr>
        <w:t xml:space="preserve"> The Guidelines</w:t>
      </w:r>
      <w:r>
        <w:rPr>
          <w:rFonts w:cstheme="minorHAnsi"/>
          <w:i/>
          <w:iCs/>
          <w:sz w:val="16"/>
          <w:szCs w:val="16"/>
        </w:rPr>
        <w:t xml:space="preserve"> - Stroke</w:t>
      </w:r>
      <w:r w:rsidRPr="008E6FA8">
        <w:rPr>
          <w:rFonts w:cstheme="minorHAnsi"/>
          <w:i/>
          <w:iCs/>
          <w:sz w:val="16"/>
          <w:szCs w:val="16"/>
        </w:rPr>
        <w:t xml:space="preserve"> Data</w:t>
      </w:r>
      <w:r>
        <w:rPr>
          <w:rFonts w:cstheme="minorHAnsi"/>
          <w:i/>
          <w:iCs/>
          <w:sz w:val="16"/>
          <w:szCs w:val="16"/>
        </w:rPr>
        <w:t xml:space="preserve"> Registry</w:t>
      </w:r>
      <w:r w:rsidRPr="008E6FA8">
        <w:rPr>
          <w:rFonts w:cstheme="minorHAnsi"/>
          <w:i/>
          <w:iCs/>
          <w:sz w:val="16"/>
          <w:szCs w:val="16"/>
        </w:rPr>
        <w:t xml:space="preserve"> System</w:t>
      </w:r>
      <w:r>
        <w:rPr>
          <w:rFonts w:cstheme="minorHAnsi"/>
          <w:sz w:val="16"/>
          <w:szCs w:val="16"/>
        </w:rPr>
        <w:t xml:space="preserve">. </w:t>
      </w:r>
      <w:r w:rsidRPr="00044541">
        <w:rPr>
          <w:rFonts w:cstheme="minorHAnsi"/>
          <w:sz w:val="16"/>
          <w:szCs w:val="16"/>
        </w:rPr>
        <w:t>Atlanta, Georgia: U.S. Department of Health and Human Services, Centers for Disease Control and Prevention, 201</w:t>
      </w:r>
      <w:r w:rsidRPr="00EB70C1">
        <w:rPr>
          <w:rFonts w:cstheme="minorHAnsi"/>
          <w:sz w:val="16"/>
          <w:szCs w:val="16"/>
        </w:rPr>
        <w:t>8</w:t>
      </w:r>
      <w:r w:rsidRPr="00044541">
        <w:rPr>
          <w:rFonts w:cstheme="minorHAnsi"/>
          <w:sz w:val="16"/>
          <w:szCs w:val="16"/>
        </w:rPr>
        <w:t>.</w:t>
      </w:r>
    </w:p>
    <w:p w14:paraId="757930E6" w14:textId="77777777" w:rsidR="007A5251" w:rsidRPr="00C31A29" w:rsidRDefault="007A5251" w:rsidP="00C22EB3">
      <w:pPr>
        <w:spacing w:after="0" w:line="240" w:lineRule="auto"/>
        <w:ind w:right="990"/>
        <w:rPr>
          <w:rFonts w:cstheme="minorHAnsi"/>
          <w:sz w:val="24"/>
          <w:szCs w:val="24"/>
        </w:rPr>
      </w:pPr>
    </w:p>
    <w:p w14:paraId="567909F8" w14:textId="78423CF1" w:rsidR="002F0F61" w:rsidRDefault="002F0F61" w:rsidP="00C22EB3">
      <w:pPr>
        <w:spacing w:after="0"/>
        <w:ind w:right="90"/>
        <w:jc w:val="both"/>
        <w:rPr>
          <w:rFonts w:cstheme="minorHAnsi"/>
          <w:sz w:val="24"/>
          <w:szCs w:val="24"/>
        </w:rPr>
      </w:pPr>
      <w:r w:rsidRPr="0038704A">
        <w:rPr>
          <w:rFonts w:cstheme="minorHAnsi"/>
          <w:sz w:val="24"/>
          <w:szCs w:val="24"/>
        </w:rPr>
        <w:lastRenderedPageBreak/>
        <w:t>The percent of patients with an ischemic stroke or TIA with an atrial fibrillation/flutter at discharge on an anticoagulation therapy medication</w:t>
      </w:r>
      <w:r>
        <w:rPr>
          <w:rFonts w:cstheme="minorHAnsi"/>
          <w:sz w:val="24"/>
          <w:szCs w:val="24"/>
        </w:rPr>
        <w:t xml:space="preserve"> from 2014 to 2019, fluctuated from 94.9 percent in 2014 to 97 percent in 2019 (see Figure 14). </w:t>
      </w:r>
    </w:p>
    <w:p w14:paraId="2028E6C2" w14:textId="5C296808" w:rsidR="00C22EB3" w:rsidRDefault="00C22EB3" w:rsidP="00C22EB3">
      <w:pPr>
        <w:spacing w:after="0"/>
        <w:ind w:right="90"/>
        <w:jc w:val="both"/>
        <w:rPr>
          <w:rFonts w:cstheme="minorHAnsi"/>
          <w:sz w:val="24"/>
        </w:rPr>
      </w:pPr>
    </w:p>
    <w:p w14:paraId="3B88E6A7" w14:textId="0E057627" w:rsidR="00C22EB3" w:rsidRDefault="00C22EB3" w:rsidP="00C22EB3">
      <w:pPr>
        <w:spacing w:after="0"/>
        <w:ind w:right="90"/>
        <w:jc w:val="both"/>
        <w:rPr>
          <w:rFonts w:cstheme="minorHAnsi"/>
          <w:sz w:val="24"/>
        </w:rPr>
      </w:pPr>
    </w:p>
    <w:p w14:paraId="029275B6" w14:textId="47BA7BCB" w:rsidR="00C22EB3" w:rsidRDefault="00C22EB3" w:rsidP="00C22EB3">
      <w:pPr>
        <w:spacing w:after="0"/>
        <w:ind w:right="90"/>
        <w:jc w:val="both"/>
        <w:rPr>
          <w:rFonts w:cstheme="minorHAnsi"/>
          <w:sz w:val="24"/>
        </w:rPr>
      </w:pPr>
    </w:p>
    <w:p w14:paraId="582BE8D3" w14:textId="278FBB79" w:rsidR="00C22EB3" w:rsidRDefault="00C22EB3" w:rsidP="00C22EB3">
      <w:pPr>
        <w:spacing w:after="0"/>
        <w:ind w:right="90"/>
        <w:jc w:val="both"/>
        <w:rPr>
          <w:rFonts w:cstheme="minorHAnsi"/>
          <w:sz w:val="24"/>
        </w:rPr>
      </w:pPr>
    </w:p>
    <w:p w14:paraId="5017DC1C" w14:textId="3E63FF21" w:rsidR="00C22EB3" w:rsidRDefault="00C22EB3" w:rsidP="00C22EB3">
      <w:pPr>
        <w:spacing w:after="0"/>
        <w:ind w:right="90"/>
        <w:jc w:val="both"/>
        <w:rPr>
          <w:rFonts w:cstheme="minorHAnsi"/>
          <w:sz w:val="24"/>
        </w:rPr>
      </w:pPr>
    </w:p>
    <w:p w14:paraId="1D3F707A" w14:textId="77777777" w:rsidR="00C22EB3" w:rsidRDefault="00C22EB3" w:rsidP="00C22EB3">
      <w:pPr>
        <w:spacing w:after="0"/>
        <w:ind w:right="90"/>
        <w:jc w:val="both"/>
        <w:rPr>
          <w:rFonts w:cstheme="minorHAnsi"/>
          <w:sz w:val="24"/>
        </w:rPr>
      </w:pPr>
    </w:p>
    <w:p w14:paraId="6967F0A5" w14:textId="76423B7E" w:rsidR="00C350F8" w:rsidRPr="00C350F8" w:rsidRDefault="00C350F8" w:rsidP="00C22EB3">
      <w:pPr>
        <w:tabs>
          <w:tab w:val="left" w:pos="9810"/>
          <w:tab w:val="left" w:pos="9900"/>
        </w:tabs>
        <w:spacing w:after="60" w:line="240" w:lineRule="auto"/>
        <w:rPr>
          <w:rFonts w:cstheme="minorHAnsi"/>
          <w:sz w:val="24"/>
        </w:rPr>
      </w:pPr>
      <w:r w:rsidRPr="00C350F8">
        <w:rPr>
          <w:rFonts w:cstheme="minorHAnsi"/>
          <w:b/>
          <w:bCs/>
          <w:sz w:val="24"/>
        </w:rPr>
        <w:t xml:space="preserve">Figure 14. </w:t>
      </w:r>
      <w:r w:rsidR="00E57E0A">
        <w:rPr>
          <w:rFonts w:cstheme="minorHAnsi"/>
          <w:b/>
          <w:bCs/>
          <w:sz w:val="24"/>
        </w:rPr>
        <w:t>P</w:t>
      </w:r>
      <w:r w:rsidR="00E57E0A" w:rsidRPr="00E57E0A">
        <w:rPr>
          <w:rFonts w:cstheme="minorHAnsi"/>
          <w:b/>
          <w:bCs/>
          <w:sz w:val="24"/>
        </w:rPr>
        <w:t xml:space="preserve">atients with an </w:t>
      </w:r>
      <w:r w:rsidR="00E57E0A">
        <w:rPr>
          <w:rFonts w:cstheme="minorHAnsi"/>
          <w:b/>
          <w:bCs/>
          <w:sz w:val="24"/>
        </w:rPr>
        <w:t>I</w:t>
      </w:r>
      <w:r w:rsidR="00E57E0A" w:rsidRPr="00E57E0A">
        <w:rPr>
          <w:rFonts w:cstheme="minorHAnsi"/>
          <w:b/>
          <w:bCs/>
          <w:sz w:val="24"/>
        </w:rPr>
        <w:t xml:space="preserve">schemic </w:t>
      </w:r>
      <w:r w:rsidR="00E57E0A">
        <w:rPr>
          <w:rFonts w:cstheme="minorHAnsi"/>
          <w:b/>
          <w:bCs/>
          <w:sz w:val="24"/>
        </w:rPr>
        <w:t>S</w:t>
      </w:r>
      <w:r w:rsidR="00E57E0A" w:rsidRPr="00E57E0A">
        <w:rPr>
          <w:rFonts w:cstheme="minorHAnsi"/>
          <w:b/>
          <w:bCs/>
          <w:sz w:val="24"/>
        </w:rPr>
        <w:t xml:space="preserve">troke or TIA with </w:t>
      </w:r>
      <w:r w:rsidR="0038704A">
        <w:rPr>
          <w:rFonts w:cstheme="minorHAnsi"/>
          <w:b/>
          <w:bCs/>
          <w:sz w:val="24"/>
        </w:rPr>
        <w:t xml:space="preserve">an </w:t>
      </w:r>
      <w:r w:rsidR="00E57E0A">
        <w:rPr>
          <w:rFonts w:cstheme="minorHAnsi"/>
          <w:b/>
          <w:bCs/>
          <w:sz w:val="24"/>
        </w:rPr>
        <w:t>A</w:t>
      </w:r>
      <w:r w:rsidR="00E57E0A" w:rsidRPr="00E57E0A">
        <w:rPr>
          <w:rFonts w:cstheme="minorHAnsi"/>
          <w:b/>
          <w:bCs/>
          <w:sz w:val="24"/>
        </w:rPr>
        <w:t xml:space="preserve">trial </w:t>
      </w:r>
      <w:r w:rsidR="00E57E0A">
        <w:rPr>
          <w:rFonts w:cstheme="minorHAnsi"/>
          <w:b/>
          <w:bCs/>
          <w:sz w:val="24"/>
        </w:rPr>
        <w:t>F</w:t>
      </w:r>
      <w:r w:rsidR="00E57E0A" w:rsidRPr="00E57E0A">
        <w:rPr>
          <w:rFonts w:cstheme="minorHAnsi"/>
          <w:b/>
          <w:bCs/>
          <w:sz w:val="24"/>
        </w:rPr>
        <w:t>ibrillation/</w:t>
      </w:r>
      <w:r w:rsidR="00E57E0A">
        <w:rPr>
          <w:rFonts w:cstheme="minorHAnsi"/>
          <w:b/>
          <w:bCs/>
          <w:sz w:val="24"/>
        </w:rPr>
        <w:t>F</w:t>
      </w:r>
      <w:r w:rsidR="00E57E0A" w:rsidRPr="00E57E0A">
        <w:rPr>
          <w:rFonts w:cstheme="minorHAnsi"/>
          <w:b/>
          <w:bCs/>
          <w:sz w:val="24"/>
        </w:rPr>
        <w:t xml:space="preserve">lutter </w:t>
      </w:r>
      <w:r w:rsidR="0038704A">
        <w:rPr>
          <w:rFonts w:cstheme="minorHAnsi"/>
          <w:b/>
          <w:bCs/>
          <w:sz w:val="24"/>
        </w:rPr>
        <w:t xml:space="preserve">at </w:t>
      </w:r>
      <w:r w:rsidR="00E57E0A">
        <w:rPr>
          <w:rFonts w:cstheme="minorHAnsi"/>
          <w:b/>
          <w:bCs/>
          <w:sz w:val="24"/>
        </w:rPr>
        <w:t>D</w:t>
      </w:r>
      <w:r w:rsidR="00E57E0A" w:rsidRPr="00E57E0A">
        <w:rPr>
          <w:rFonts w:cstheme="minorHAnsi"/>
          <w:b/>
          <w:bCs/>
          <w:sz w:val="24"/>
        </w:rPr>
        <w:t>ischarged on</w:t>
      </w:r>
      <w:r w:rsidR="0038704A">
        <w:rPr>
          <w:rFonts w:cstheme="minorHAnsi"/>
          <w:b/>
          <w:bCs/>
          <w:sz w:val="24"/>
        </w:rPr>
        <w:t xml:space="preserve"> </w:t>
      </w:r>
      <w:r w:rsidR="001565B4">
        <w:rPr>
          <w:rFonts w:cstheme="minorHAnsi"/>
          <w:b/>
          <w:bCs/>
          <w:sz w:val="24"/>
        </w:rPr>
        <w:t>an</w:t>
      </w:r>
      <w:r w:rsidR="0038704A">
        <w:rPr>
          <w:rFonts w:cstheme="minorHAnsi"/>
          <w:b/>
          <w:bCs/>
          <w:sz w:val="24"/>
        </w:rPr>
        <w:t xml:space="preserve"> </w:t>
      </w:r>
      <w:r w:rsidR="0038704A" w:rsidRPr="00E57E0A">
        <w:rPr>
          <w:rFonts w:cstheme="minorHAnsi"/>
          <w:b/>
          <w:bCs/>
          <w:sz w:val="24"/>
        </w:rPr>
        <w:t>Anticoagulation</w:t>
      </w:r>
      <w:r w:rsidR="00E57E0A" w:rsidRPr="00E57E0A">
        <w:rPr>
          <w:rFonts w:cstheme="minorHAnsi"/>
          <w:b/>
          <w:bCs/>
          <w:sz w:val="24"/>
        </w:rPr>
        <w:t xml:space="preserve"> </w:t>
      </w:r>
      <w:r w:rsidR="0038704A">
        <w:rPr>
          <w:rFonts w:cstheme="minorHAnsi"/>
          <w:b/>
          <w:bCs/>
          <w:sz w:val="24"/>
        </w:rPr>
        <w:t>T</w:t>
      </w:r>
      <w:r w:rsidR="00E57E0A" w:rsidRPr="00E57E0A">
        <w:rPr>
          <w:rFonts w:cstheme="minorHAnsi"/>
          <w:b/>
          <w:bCs/>
          <w:sz w:val="24"/>
        </w:rPr>
        <w:t>herapy</w:t>
      </w:r>
      <w:r w:rsidR="0038704A">
        <w:rPr>
          <w:rFonts w:cstheme="minorHAnsi"/>
          <w:b/>
          <w:bCs/>
          <w:sz w:val="24"/>
        </w:rPr>
        <w:t xml:space="preserve"> Medication</w:t>
      </w:r>
      <w:r w:rsidRPr="006F3331">
        <w:rPr>
          <w:rFonts w:cstheme="minorHAnsi"/>
          <w:b/>
          <w:bCs/>
          <w:sz w:val="24"/>
        </w:rPr>
        <w:t>, 201</w:t>
      </w:r>
      <w:r w:rsidR="0020211F" w:rsidRPr="006F3331">
        <w:rPr>
          <w:rFonts w:cstheme="minorHAnsi"/>
          <w:b/>
          <w:bCs/>
          <w:sz w:val="24"/>
        </w:rPr>
        <w:t xml:space="preserve">4 – </w:t>
      </w:r>
      <w:proofErr w:type="gramStart"/>
      <w:r w:rsidR="0020211F" w:rsidRPr="006F3331">
        <w:rPr>
          <w:rFonts w:cstheme="minorHAnsi"/>
          <w:b/>
          <w:bCs/>
          <w:sz w:val="24"/>
        </w:rPr>
        <w:t>2019</w:t>
      </w:r>
      <w:proofErr w:type="gramEnd"/>
    </w:p>
    <w:p w14:paraId="1552E91F" w14:textId="3DC5A7E3" w:rsidR="0003471F" w:rsidRDefault="0003471F" w:rsidP="00616850">
      <w:pPr>
        <w:spacing w:after="0"/>
        <w:rPr>
          <w:rFonts w:cstheme="minorHAnsi"/>
          <w:sz w:val="23"/>
          <w:szCs w:val="23"/>
        </w:rPr>
      </w:pPr>
      <w:r>
        <w:rPr>
          <w:noProof/>
        </w:rPr>
        <w:drawing>
          <wp:inline distT="0" distB="0" distL="0" distR="0" wp14:anchorId="44199F6C" wp14:editId="68028E3A">
            <wp:extent cx="6744970" cy="1645920"/>
            <wp:effectExtent l="0" t="0" r="17780" b="11430"/>
            <wp:docPr id="44" name="Chart 44">
              <a:extLst xmlns:a="http://schemas.openxmlformats.org/drawingml/2006/main">
                <a:ext uri="{FF2B5EF4-FFF2-40B4-BE49-F238E27FC236}">
                  <a16:creationId xmlns:a16="http://schemas.microsoft.com/office/drawing/2014/main" id="{A09ADE1D-8E16-461C-AB4C-800A3C2C3A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DBD6CDA" w14:textId="3B13E197" w:rsidR="00472D4F" w:rsidRDefault="00472D4F" w:rsidP="00616850">
      <w:pPr>
        <w:spacing w:before="60" w:after="0"/>
        <w:rPr>
          <w:rFonts w:cstheme="minorHAnsi"/>
          <w:sz w:val="16"/>
          <w:szCs w:val="16"/>
        </w:rPr>
      </w:pPr>
      <w:r w:rsidRPr="00044541">
        <w:rPr>
          <w:rFonts w:cstheme="minorHAnsi"/>
          <w:b/>
          <w:bCs/>
          <w:sz w:val="16"/>
          <w:szCs w:val="16"/>
        </w:rPr>
        <w:t xml:space="preserve">Source: </w:t>
      </w:r>
      <w:r>
        <w:rPr>
          <w:rFonts w:cstheme="minorHAnsi"/>
          <w:sz w:val="16"/>
          <w:szCs w:val="16"/>
        </w:rPr>
        <w:t xml:space="preserve">American Stroke Association. </w:t>
      </w:r>
      <w:r w:rsidRPr="008E6FA8">
        <w:rPr>
          <w:rFonts w:cstheme="minorHAnsi"/>
          <w:i/>
          <w:iCs/>
          <w:sz w:val="16"/>
          <w:szCs w:val="16"/>
        </w:rPr>
        <w:t xml:space="preserve">Get </w:t>
      </w:r>
      <w:proofErr w:type="gramStart"/>
      <w:r w:rsidRPr="008E6FA8">
        <w:rPr>
          <w:rFonts w:cstheme="minorHAnsi"/>
          <w:i/>
          <w:iCs/>
          <w:sz w:val="16"/>
          <w:szCs w:val="16"/>
        </w:rPr>
        <w:t>With</w:t>
      </w:r>
      <w:proofErr w:type="gramEnd"/>
      <w:r w:rsidRPr="008E6FA8">
        <w:rPr>
          <w:rFonts w:cstheme="minorHAnsi"/>
          <w:i/>
          <w:iCs/>
          <w:sz w:val="16"/>
          <w:szCs w:val="16"/>
        </w:rPr>
        <w:t xml:space="preserve"> The Guidelines</w:t>
      </w:r>
      <w:r>
        <w:rPr>
          <w:rFonts w:cstheme="minorHAnsi"/>
          <w:i/>
          <w:iCs/>
          <w:sz w:val="16"/>
          <w:szCs w:val="16"/>
        </w:rPr>
        <w:t xml:space="preserve"> - Stroke</w:t>
      </w:r>
      <w:r w:rsidRPr="008E6FA8">
        <w:rPr>
          <w:rFonts w:cstheme="minorHAnsi"/>
          <w:i/>
          <w:iCs/>
          <w:sz w:val="16"/>
          <w:szCs w:val="16"/>
        </w:rPr>
        <w:t xml:space="preserve"> Data</w:t>
      </w:r>
      <w:r>
        <w:rPr>
          <w:rFonts w:cstheme="minorHAnsi"/>
          <w:i/>
          <w:iCs/>
          <w:sz w:val="16"/>
          <w:szCs w:val="16"/>
        </w:rPr>
        <w:t xml:space="preserve"> Registry</w:t>
      </w:r>
      <w:r w:rsidRPr="008E6FA8">
        <w:rPr>
          <w:rFonts w:cstheme="minorHAnsi"/>
          <w:i/>
          <w:iCs/>
          <w:sz w:val="16"/>
          <w:szCs w:val="16"/>
        </w:rPr>
        <w:t xml:space="preserve"> System</w:t>
      </w:r>
      <w:r>
        <w:rPr>
          <w:rFonts w:cstheme="minorHAnsi"/>
          <w:sz w:val="16"/>
          <w:szCs w:val="16"/>
        </w:rPr>
        <w:t xml:space="preserve">. </w:t>
      </w:r>
      <w:r w:rsidRPr="00044541">
        <w:rPr>
          <w:rFonts w:cstheme="minorHAnsi"/>
          <w:sz w:val="16"/>
          <w:szCs w:val="16"/>
        </w:rPr>
        <w:t xml:space="preserve">Atlanta, Georgia: U.S. Department of Health and Human Services, Centers for Disease Control and Prevention, </w:t>
      </w:r>
      <w:r w:rsidR="00AB0E42">
        <w:rPr>
          <w:rFonts w:cstheme="minorHAnsi"/>
          <w:sz w:val="16"/>
          <w:szCs w:val="16"/>
        </w:rPr>
        <w:t>2014-</w:t>
      </w:r>
      <w:r w:rsidRPr="00044541">
        <w:rPr>
          <w:rFonts w:cstheme="minorHAnsi"/>
          <w:sz w:val="16"/>
          <w:szCs w:val="16"/>
        </w:rPr>
        <w:t>201</w:t>
      </w:r>
      <w:r w:rsidR="00A9246F">
        <w:rPr>
          <w:rFonts w:cstheme="minorHAnsi"/>
          <w:sz w:val="16"/>
          <w:szCs w:val="16"/>
        </w:rPr>
        <w:t>9</w:t>
      </w:r>
      <w:r w:rsidRPr="00044541">
        <w:rPr>
          <w:rFonts w:cstheme="minorHAnsi"/>
          <w:sz w:val="16"/>
          <w:szCs w:val="16"/>
        </w:rPr>
        <w:t>.</w:t>
      </w:r>
    </w:p>
    <w:p w14:paraId="627B4610" w14:textId="2EC82755" w:rsidR="00F00455" w:rsidRPr="00173985" w:rsidRDefault="00F00455" w:rsidP="00173985">
      <w:pPr>
        <w:pStyle w:val="Heading2STD"/>
        <w:spacing w:before="120" w:line="276" w:lineRule="auto"/>
        <w:jc w:val="both"/>
        <w:rPr>
          <w:rFonts w:cstheme="minorHAnsi"/>
          <w:b w:val="0"/>
          <w:sz w:val="24"/>
          <w:szCs w:val="24"/>
        </w:rPr>
      </w:pPr>
      <w:r w:rsidRPr="00173985">
        <w:rPr>
          <w:rFonts w:asciiTheme="minorHAnsi" w:hAnsiTheme="minorHAnsi" w:cstheme="minorHAnsi"/>
          <w:sz w:val="24"/>
          <w:szCs w:val="24"/>
        </w:rPr>
        <w:t>IV t-PA Administration</w:t>
      </w:r>
    </w:p>
    <w:p w14:paraId="3DFCBA51" w14:textId="77777777" w:rsidR="00FA15E0" w:rsidRDefault="00FA15E0" w:rsidP="00FA15E0">
      <w:pPr>
        <w:pStyle w:val="TextOPHIE"/>
        <w:spacing w:line="276" w:lineRule="auto"/>
        <w:rPr>
          <w:rFonts w:asciiTheme="minorHAnsi" w:hAnsiTheme="minorHAnsi" w:cstheme="minorHAnsi"/>
          <w:sz w:val="24"/>
          <w:szCs w:val="24"/>
        </w:rPr>
      </w:pPr>
      <w:r w:rsidRPr="00757F1A">
        <w:rPr>
          <w:rFonts w:asciiTheme="minorHAnsi" w:hAnsiTheme="minorHAnsi" w:cstheme="minorHAnsi"/>
          <w:sz w:val="24"/>
          <w:szCs w:val="24"/>
        </w:rPr>
        <w:t>Intravenous (IV) tissue plasminogen activator (</w:t>
      </w:r>
      <w:proofErr w:type="spellStart"/>
      <w:r w:rsidRPr="00757F1A">
        <w:rPr>
          <w:rFonts w:asciiTheme="minorHAnsi" w:hAnsiTheme="minorHAnsi" w:cstheme="minorHAnsi"/>
          <w:sz w:val="24"/>
          <w:szCs w:val="24"/>
        </w:rPr>
        <w:t>tPA</w:t>
      </w:r>
      <w:proofErr w:type="spellEnd"/>
      <w:r w:rsidRPr="00757F1A">
        <w:rPr>
          <w:rFonts w:asciiTheme="minorHAnsi" w:hAnsiTheme="minorHAnsi" w:cstheme="minorHAnsi"/>
          <w:sz w:val="24"/>
          <w:szCs w:val="24"/>
        </w:rPr>
        <w:t>) administration should be administered to eligible acute stroke patients within two hours of last known stroke</w:t>
      </w:r>
      <w:r>
        <w:rPr>
          <w:rFonts w:asciiTheme="minorHAnsi" w:hAnsiTheme="minorHAnsi" w:cstheme="minorHAnsi"/>
          <w:sz w:val="24"/>
          <w:szCs w:val="24"/>
        </w:rPr>
        <w:t xml:space="preserve"> </w:t>
      </w:r>
      <w:r w:rsidRPr="00757F1A">
        <w:rPr>
          <w:rFonts w:asciiTheme="minorHAnsi" w:hAnsiTheme="minorHAnsi" w:cstheme="minorHAnsi"/>
          <w:sz w:val="24"/>
          <w:szCs w:val="24"/>
        </w:rPr>
        <w:t>and</w:t>
      </w:r>
      <w:r>
        <w:rPr>
          <w:rFonts w:asciiTheme="minorHAnsi" w:hAnsiTheme="minorHAnsi" w:cstheme="minorHAnsi"/>
          <w:sz w:val="24"/>
          <w:szCs w:val="24"/>
        </w:rPr>
        <w:t xml:space="preserve"> patients should</w:t>
      </w:r>
      <w:r w:rsidRPr="00757F1A">
        <w:rPr>
          <w:rFonts w:asciiTheme="minorHAnsi" w:hAnsiTheme="minorHAnsi" w:cstheme="minorHAnsi"/>
          <w:sz w:val="24"/>
          <w:szCs w:val="24"/>
        </w:rPr>
        <w:t xml:space="preserve"> receive tissue plasminogen activator to dissolve blood clots to improve blood flow within three hours of last known stroke. </w:t>
      </w:r>
    </w:p>
    <w:p w14:paraId="23849290" w14:textId="77777777" w:rsidR="00FA15E0" w:rsidRPr="001D6A3E" w:rsidRDefault="00FA15E0" w:rsidP="00FA15E0">
      <w:pPr>
        <w:pStyle w:val="TextOPHIE"/>
        <w:spacing w:line="276" w:lineRule="auto"/>
        <w:rPr>
          <w:rFonts w:asciiTheme="minorHAnsi" w:hAnsiTheme="minorHAnsi" w:cstheme="minorHAnsi"/>
          <w:sz w:val="20"/>
          <w:szCs w:val="20"/>
        </w:rPr>
      </w:pPr>
    </w:p>
    <w:p w14:paraId="2FF76FB0" w14:textId="77777777" w:rsidR="00FA15E0" w:rsidRPr="00757F1A" w:rsidRDefault="00FA15E0" w:rsidP="00FA15E0">
      <w:pPr>
        <w:pStyle w:val="TextOPHIE"/>
        <w:spacing w:line="276" w:lineRule="auto"/>
        <w:rPr>
          <w:rFonts w:asciiTheme="minorHAnsi" w:hAnsiTheme="minorHAnsi" w:cstheme="minorHAnsi"/>
          <w:sz w:val="24"/>
          <w:szCs w:val="24"/>
        </w:rPr>
      </w:pPr>
      <w:r>
        <w:rPr>
          <w:rFonts w:asciiTheme="minorHAnsi" w:hAnsiTheme="minorHAnsi" w:cstheme="minorHAnsi"/>
          <w:sz w:val="24"/>
          <w:szCs w:val="24"/>
        </w:rPr>
        <w:t xml:space="preserve">Figure 15 represents administration of IV </w:t>
      </w:r>
      <w:proofErr w:type="spellStart"/>
      <w:r>
        <w:rPr>
          <w:rFonts w:asciiTheme="minorHAnsi" w:hAnsiTheme="minorHAnsi" w:cstheme="minorHAnsi"/>
          <w:sz w:val="24"/>
          <w:szCs w:val="24"/>
        </w:rPr>
        <w:t>tPA</w:t>
      </w:r>
      <w:proofErr w:type="spellEnd"/>
      <w:r>
        <w:rPr>
          <w:rFonts w:asciiTheme="minorHAnsi" w:hAnsiTheme="minorHAnsi" w:cstheme="minorHAnsi"/>
          <w:sz w:val="24"/>
          <w:szCs w:val="24"/>
        </w:rPr>
        <w:t xml:space="preserve"> for eligible patients slightly decreases from 96.7 percent in 2018 to 96.2 percent in 2019.</w:t>
      </w:r>
    </w:p>
    <w:p w14:paraId="1BCD5659" w14:textId="77777777" w:rsidR="007A5251" w:rsidRPr="00757F1A" w:rsidRDefault="007A5251" w:rsidP="00FA15E0">
      <w:pPr>
        <w:pStyle w:val="TextOPHIE"/>
        <w:spacing w:line="276" w:lineRule="auto"/>
        <w:rPr>
          <w:rFonts w:asciiTheme="minorHAnsi" w:hAnsiTheme="minorHAnsi" w:cstheme="minorHAnsi"/>
          <w:sz w:val="24"/>
          <w:szCs w:val="24"/>
        </w:rPr>
      </w:pPr>
    </w:p>
    <w:p w14:paraId="1A60A827" w14:textId="5B632027" w:rsidR="000D0305" w:rsidRPr="008E6FA8" w:rsidRDefault="000D0305" w:rsidP="00AC014B">
      <w:pPr>
        <w:pStyle w:val="TextOPHIE"/>
        <w:tabs>
          <w:tab w:val="left" w:pos="10080"/>
          <w:tab w:val="left" w:pos="10170"/>
        </w:tabs>
        <w:spacing w:after="60"/>
        <w:rPr>
          <w:rFonts w:asciiTheme="minorHAnsi" w:hAnsiTheme="minorHAnsi" w:cstheme="minorHAnsi"/>
          <w:sz w:val="24"/>
          <w:szCs w:val="24"/>
        </w:rPr>
      </w:pPr>
      <w:r w:rsidRPr="008E6FA8">
        <w:rPr>
          <w:rFonts w:asciiTheme="minorHAnsi" w:hAnsiTheme="minorHAnsi" w:cstheme="minorHAnsi"/>
          <w:b/>
          <w:bCs/>
          <w:sz w:val="24"/>
          <w:szCs w:val="24"/>
        </w:rPr>
        <w:t xml:space="preserve">Figure 15. Acute Ischemic Stroke Patients </w:t>
      </w:r>
      <w:r w:rsidR="003C119F">
        <w:rPr>
          <w:rFonts w:asciiTheme="minorHAnsi" w:hAnsiTheme="minorHAnsi" w:cstheme="minorHAnsi"/>
          <w:b/>
          <w:bCs/>
          <w:sz w:val="24"/>
          <w:szCs w:val="24"/>
        </w:rPr>
        <w:t>Who</w:t>
      </w:r>
      <w:r w:rsidRPr="008E6FA8">
        <w:rPr>
          <w:rFonts w:asciiTheme="minorHAnsi" w:hAnsiTheme="minorHAnsi" w:cstheme="minorHAnsi"/>
          <w:b/>
          <w:bCs/>
          <w:sz w:val="24"/>
          <w:szCs w:val="24"/>
        </w:rPr>
        <w:t xml:space="preserve"> Arrive</w:t>
      </w:r>
      <w:r w:rsidR="003C119F">
        <w:rPr>
          <w:rFonts w:asciiTheme="minorHAnsi" w:hAnsiTheme="minorHAnsi" w:cstheme="minorHAnsi"/>
          <w:b/>
          <w:bCs/>
          <w:sz w:val="24"/>
          <w:szCs w:val="24"/>
        </w:rPr>
        <w:t>d</w:t>
      </w:r>
      <w:r w:rsidRPr="008E6FA8">
        <w:rPr>
          <w:rFonts w:asciiTheme="minorHAnsi" w:hAnsiTheme="minorHAnsi" w:cstheme="minorHAnsi"/>
          <w:b/>
          <w:bCs/>
          <w:sz w:val="24"/>
          <w:szCs w:val="24"/>
        </w:rPr>
        <w:t xml:space="preserve"> at the Hospital </w:t>
      </w:r>
      <w:r w:rsidR="00757F1A">
        <w:rPr>
          <w:rFonts w:asciiTheme="minorHAnsi" w:hAnsiTheme="minorHAnsi" w:cstheme="minorHAnsi"/>
          <w:b/>
          <w:bCs/>
          <w:sz w:val="24"/>
          <w:szCs w:val="24"/>
        </w:rPr>
        <w:t>w</w:t>
      </w:r>
      <w:r w:rsidRPr="008E6FA8">
        <w:rPr>
          <w:rFonts w:asciiTheme="minorHAnsi" w:hAnsiTheme="minorHAnsi" w:cstheme="minorHAnsi"/>
          <w:b/>
          <w:bCs/>
          <w:sz w:val="24"/>
          <w:szCs w:val="24"/>
        </w:rPr>
        <w:t xml:space="preserve">ithin 120 Minutes of Last Known Well and for </w:t>
      </w:r>
      <w:r w:rsidR="003C119F">
        <w:rPr>
          <w:rFonts w:asciiTheme="minorHAnsi" w:hAnsiTheme="minorHAnsi" w:cstheme="minorHAnsi"/>
          <w:b/>
          <w:bCs/>
          <w:sz w:val="24"/>
          <w:szCs w:val="24"/>
        </w:rPr>
        <w:t>w</w:t>
      </w:r>
      <w:r w:rsidRPr="008E6FA8">
        <w:rPr>
          <w:rFonts w:asciiTheme="minorHAnsi" w:hAnsiTheme="minorHAnsi" w:cstheme="minorHAnsi"/>
          <w:b/>
          <w:bCs/>
          <w:sz w:val="24"/>
          <w:szCs w:val="24"/>
        </w:rPr>
        <w:t xml:space="preserve">hom IV t-PA </w:t>
      </w:r>
      <w:r w:rsidR="0038704A">
        <w:rPr>
          <w:rFonts w:asciiTheme="minorHAnsi" w:hAnsiTheme="minorHAnsi" w:cstheme="minorHAnsi"/>
          <w:b/>
          <w:bCs/>
          <w:sz w:val="24"/>
          <w:szCs w:val="24"/>
        </w:rPr>
        <w:t>w</w:t>
      </w:r>
      <w:r w:rsidRPr="008E6FA8">
        <w:rPr>
          <w:rFonts w:asciiTheme="minorHAnsi" w:hAnsiTheme="minorHAnsi" w:cstheme="minorHAnsi"/>
          <w:b/>
          <w:bCs/>
          <w:sz w:val="24"/>
          <w:szCs w:val="24"/>
        </w:rPr>
        <w:t xml:space="preserve">as Initiated </w:t>
      </w:r>
      <w:r w:rsidR="003C119F">
        <w:rPr>
          <w:rFonts w:asciiTheme="minorHAnsi" w:hAnsiTheme="minorHAnsi" w:cstheme="minorHAnsi"/>
          <w:b/>
          <w:bCs/>
          <w:sz w:val="24"/>
          <w:szCs w:val="24"/>
        </w:rPr>
        <w:t>w</w:t>
      </w:r>
      <w:r w:rsidRPr="008E6FA8">
        <w:rPr>
          <w:rFonts w:asciiTheme="minorHAnsi" w:hAnsiTheme="minorHAnsi" w:cstheme="minorHAnsi"/>
          <w:b/>
          <w:bCs/>
          <w:sz w:val="24"/>
          <w:szCs w:val="24"/>
        </w:rPr>
        <w:t>ithin 180 Minutes of Time Last Known Well</w:t>
      </w:r>
    </w:p>
    <w:p w14:paraId="748BC7F7" w14:textId="1DD84D4A" w:rsidR="000D0305" w:rsidRPr="00EB70C1" w:rsidRDefault="003306A6" w:rsidP="00792B88">
      <w:pPr>
        <w:pStyle w:val="TextOPHIE"/>
        <w:spacing w:line="276" w:lineRule="auto"/>
        <w:jc w:val="both"/>
        <w:rPr>
          <w:rFonts w:asciiTheme="minorHAnsi" w:hAnsiTheme="minorHAnsi" w:cstheme="minorHAnsi"/>
          <w:sz w:val="24"/>
          <w:szCs w:val="24"/>
        </w:rPr>
      </w:pPr>
      <w:r>
        <w:rPr>
          <w:noProof/>
        </w:rPr>
        <w:drawing>
          <wp:inline distT="0" distB="0" distL="0" distR="0" wp14:anchorId="0E19E382" wp14:editId="26AA6AEC">
            <wp:extent cx="6744970" cy="1645920"/>
            <wp:effectExtent l="0" t="0" r="17780" b="11430"/>
            <wp:docPr id="43" name="Chart 43">
              <a:extLst xmlns:a="http://schemas.openxmlformats.org/drawingml/2006/main">
                <a:ext uri="{FF2B5EF4-FFF2-40B4-BE49-F238E27FC236}">
                  <a16:creationId xmlns:a16="http://schemas.microsoft.com/office/drawing/2014/main" id="{4D777129-48C2-4AD9-8C42-DFCBC9EF5F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5D909D3" w14:textId="5DE1A972" w:rsidR="00472D4F" w:rsidRDefault="00472D4F" w:rsidP="00792B88">
      <w:pPr>
        <w:spacing w:before="60" w:after="0"/>
        <w:rPr>
          <w:rFonts w:cstheme="minorHAnsi"/>
          <w:sz w:val="16"/>
          <w:szCs w:val="16"/>
        </w:rPr>
      </w:pPr>
      <w:r w:rsidRPr="00044541">
        <w:rPr>
          <w:rFonts w:cstheme="minorHAnsi"/>
          <w:b/>
          <w:bCs/>
          <w:sz w:val="16"/>
          <w:szCs w:val="16"/>
        </w:rPr>
        <w:t xml:space="preserve">Source: </w:t>
      </w:r>
      <w:r>
        <w:rPr>
          <w:rFonts w:cstheme="minorHAnsi"/>
          <w:sz w:val="16"/>
          <w:szCs w:val="16"/>
        </w:rPr>
        <w:t xml:space="preserve">American Stroke Association. </w:t>
      </w:r>
      <w:r w:rsidRPr="008E6FA8">
        <w:rPr>
          <w:rFonts w:cstheme="minorHAnsi"/>
          <w:i/>
          <w:iCs/>
          <w:sz w:val="16"/>
          <w:szCs w:val="16"/>
        </w:rPr>
        <w:t xml:space="preserve">Get </w:t>
      </w:r>
      <w:proofErr w:type="gramStart"/>
      <w:r w:rsidRPr="008E6FA8">
        <w:rPr>
          <w:rFonts w:cstheme="minorHAnsi"/>
          <w:i/>
          <w:iCs/>
          <w:sz w:val="16"/>
          <w:szCs w:val="16"/>
        </w:rPr>
        <w:t>With</w:t>
      </w:r>
      <w:proofErr w:type="gramEnd"/>
      <w:r w:rsidRPr="008E6FA8">
        <w:rPr>
          <w:rFonts w:cstheme="minorHAnsi"/>
          <w:i/>
          <w:iCs/>
          <w:sz w:val="16"/>
          <w:szCs w:val="16"/>
        </w:rPr>
        <w:t xml:space="preserve"> The Guidelines</w:t>
      </w:r>
      <w:r>
        <w:rPr>
          <w:rFonts w:cstheme="minorHAnsi"/>
          <w:i/>
          <w:iCs/>
          <w:sz w:val="16"/>
          <w:szCs w:val="16"/>
        </w:rPr>
        <w:t xml:space="preserve"> - Stroke</w:t>
      </w:r>
      <w:r w:rsidRPr="008E6FA8">
        <w:rPr>
          <w:rFonts w:cstheme="minorHAnsi"/>
          <w:i/>
          <w:iCs/>
          <w:sz w:val="16"/>
          <w:szCs w:val="16"/>
        </w:rPr>
        <w:t xml:space="preserve"> Data</w:t>
      </w:r>
      <w:r>
        <w:rPr>
          <w:rFonts w:cstheme="minorHAnsi"/>
          <w:i/>
          <w:iCs/>
          <w:sz w:val="16"/>
          <w:szCs w:val="16"/>
        </w:rPr>
        <w:t xml:space="preserve"> Registry</w:t>
      </w:r>
      <w:r w:rsidRPr="008E6FA8">
        <w:rPr>
          <w:rFonts w:cstheme="minorHAnsi"/>
          <w:i/>
          <w:iCs/>
          <w:sz w:val="16"/>
          <w:szCs w:val="16"/>
        </w:rPr>
        <w:t xml:space="preserve"> System</w:t>
      </w:r>
      <w:r>
        <w:rPr>
          <w:rFonts w:cstheme="minorHAnsi"/>
          <w:sz w:val="16"/>
          <w:szCs w:val="16"/>
        </w:rPr>
        <w:t xml:space="preserve">. </w:t>
      </w:r>
      <w:r w:rsidRPr="00044541">
        <w:rPr>
          <w:rFonts w:cstheme="minorHAnsi"/>
          <w:sz w:val="16"/>
          <w:szCs w:val="16"/>
        </w:rPr>
        <w:t>Atlanta, Georgia: U.S. Department of Health and Human Services, Centers for Disease Control and Prevention, 201</w:t>
      </w:r>
      <w:r w:rsidR="00A9246F">
        <w:rPr>
          <w:rFonts w:cstheme="minorHAnsi"/>
          <w:sz w:val="16"/>
          <w:szCs w:val="16"/>
        </w:rPr>
        <w:t>9</w:t>
      </w:r>
      <w:r w:rsidRPr="00044541">
        <w:rPr>
          <w:rFonts w:cstheme="minorHAnsi"/>
          <w:sz w:val="16"/>
          <w:szCs w:val="16"/>
        </w:rPr>
        <w:t>.</w:t>
      </w:r>
    </w:p>
    <w:p w14:paraId="64920AB0" w14:textId="425AA5E4" w:rsidR="009F3125" w:rsidRPr="00173985" w:rsidRDefault="009F3125" w:rsidP="008E6FA8">
      <w:pPr>
        <w:pStyle w:val="TextOPHIE"/>
        <w:tabs>
          <w:tab w:val="left" w:pos="2028"/>
        </w:tabs>
        <w:spacing w:line="276" w:lineRule="auto"/>
        <w:rPr>
          <w:rFonts w:asciiTheme="minorHAnsi" w:hAnsiTheme="minorHAnsi" w:cstheme="minorHAnsi"/>
          <w:sz w:val="24"/>
          <w:szCs w:val="24"/>
        </w:rPr>
      </w:pPr>
    </w:p>
    <w:p w14:paraId="78B8BAB9" w14:textId="1C4B3357" w:rsidR="0038704A" w:rsidRPr="00FA15E0" w:rsidRDefault="00AB1C4C" w:rsidP="00FA15E0">
      <w:pPr>
        <w:pStyle w:val="TextOPHIE"/>
        <w:spacing w:line="276" w:lineRule="auto"/>
        <w:rPr>
          <w:rFonts w:asciiTheme="minorHAnsi" w:hAnsiTheme="minorHAnsi" w:cstheme="minorHAnsi"/>
          <w:b/>
          <w:bCs/>
          <w:sz w:val="24"/>
          <w:szCs w:val="24"/>
          <w:vertAlign w:val="superscript"/>
        </w:rPr>
      </w:pPr>
      <w:r w:rsidRPr="00FA15E0">
        <w:rPr>
          <w:rFonts w:asciiTheme="minorHAnsi" w:hAnsiTheme="minorHAnsi" w:cstheme="minorHAnsi"/>
          <w:b/>
          <w:bCs/>
          <w:sz w:val="24"/>
          <w:szCs w:val="24"/>
        </w:rPr>
        <w:t>Contrai</w:t>
      </w:r>
      <w:r w:rsidR="0038704A" w:rsidRPr="00FA15E0">
        <w:rPr>
          <w:rFonts w:asciiTheme="minorHAnsi" w:hAnsiTheme="minorHAnsi" w:cstheme="minorHAnsi"/>
          <w:b/>
          <w:bCs/>
          <w:sz w:val="24"/>
          <w:szCs w:val="24"/>
        </w:rPr>
        <w:t>ndicators for</w:t>
      </w:r>
      <w:r w:rsidRPr="00FA15E0">
        <w:rPr>
          <w:rFonts w:asciiTheme="minorHAnsi" w:hAnsiTheme="minorHAnsi" w:cstheme="minorHAnsi"/>
          <w:b/>
          <w:bCs/>
          <w:sz w:val="24"/>
          <w:szCs w:val="24"/>
        </w:rPr>
        <w:t xml:space="preserve"> </w:t>
      </w:r>
      <w:r w:rsidR="0038704A" w:rsidRPr="00FA15E0">
        <w:rPr>
          <w:rFonts w:asciiTheme="minorHAnsi" w:hAnsiTheme="minorHAnsi" w:cstheme="minorHAnsi"/>
          <w:b/>
          <w:bCs/>
          <w:sz w:val="24"/>
          <w:szCs w:val="24"/>
        </w:rPr>
        <w:t>administration IV tPA</w:t>
      </w:r>
      <w:r w:rsidR="008269BA" w:rsidRPr="00FA15E0">
        <w:rPr>
          <w:rFonts w:asciiTheme="minorHAnsi" w:hAnsiTheme="minorHAnsi" w:cstheme="minorHAnsi"/>
          <w:b/>
          <w:bCs/>
          <w:sz w:val="24"/>
          <w:szCs w:val="24"/>
        </w:rPr>
        <w:t>:</w:t>
      </w:r>
      <w:r w:rsidRPr="00FA15E0">
        <w:rPr>
          <w:rFonts w:asciiTheme="minorHAnsi" w:hAnsiTheme="minorHAnsi" w:cstheme="minorHAnsi"/>
          <w:sz w:val="24"/>
          <w:szCs w:val="24"/>
          <w:vertAlign w:val="superscript"/>
        </w:rPr>
        <w:t>8</w:t>
      </w:r>
    </w:p>
    <w:p w14:paraId="2BDDAFDF" w14:textId="77777777" w:rsidR="00FA15E0" w:rsidRPr="00FA15E0" w:rsidRDefault="00FA15E0" w:rsidP="00FA15E0">
      <w:pPr>
        <w:pStyle w:val="TextOPHIE"/>
        <w:numPr>
          <w:ilvl w:val="0"/>
          <w:numId w:val="18"/>
        </w:numPr>
        <w:spacing w:line="276" w:lineRule="auto"/>
        <w:ind w:right="297"/>
        <w:jc w:val="both"/>
        <w:rPr>
          <w:rFonts w:asciiTheme="minorHAnsi" w:hAnsiTheme="minorHAnsi" w:cstheme="minorHAnsi"/>
          <w:bCs/>
          <w:sz w:val="24"/>
          <w:szCs w:val="24"/>
        </w:rPr>
      </w:pPr>
      <w:r w:rsidRPr="00FA15E0">
        <w:rPr>
          <w:rFonts w:asciiTheme="minorHAnsi" w:hAnsiTheme="minorHAnsi" w:cstheme="minorHAnsi"/>
          <w:bCs/>
          <w:sz w:val="24"/>
          <w:szCs w:val="24"/>
        </w:rPr>
        <w:t>Recent intracranial, spinal surgery, serious head trauma, or stroke in the previous three months,</w:t>
      </w:r>
    </w:p>
    <w:p w14:paraId="72B0BED2" w14:textId="77777777" w:rsidR="00FA15E0" w:rsidRPr="00FA15E0" w:rsidRDefault="00FA15E0" w:rsidP="00FA15E0">
      <w:pPr>
        <w:pStyle w:val="TextOPHIE"/>
        <w:numPr>
          <w:ilvl w:val="0"/>
          <w:numId w:val="18"/>
        </w:numPr>
        <w:spacing w:line="276" w:lineRule="auto"/>
        <w:rPr>
          <w:rFonts w:asciiTheme="minorHAnsi" w:hAnsiTheme="minorHAnsi" w:cstheme="minorHAnsi"/>
          <w:bCs/>
          <w:sz w:val="24"/>
          <w:szCs w:val="24"/>
        </w:rPr>
      </w:pPr>
      <w:r w:rsidRPr="00FA15E0">
        <w:rPr>
          <w:rFonts w:asciiTheme="minorHAnsi" w:hAnsiTheme="minorHAnsi" w:cstheme="minorHAnsi"/>
          <w:bCs/>
          <w:sz w:val="24"/>
          <w:szCs w:val="24"/>
        </w:rPr>
        <w:lastRenderedPageBreak/>
        <w:t>History of previous intracranial hemorrhage (ICH), Intracranial Neoplasm, Arteriovenous Malformation, or Aneurysm</w:t>
      </w:r>
      <w:r w:rsidRPr="00FA15E0">
        <w:rPr>
          <w:rFonts w:asciiTheme="minorHAnsi" w:hAnsiTheme="minorHAnsi" w:cstheme="minorHAnsi"/>
          <w:b/>
          <w:sz w:val="24"/>
          <w:szCs w:val="24"/>
        </w:rPr>
        <w:t>:</w:t>
      </w:r>
      <w:r w:rsidRPr="00FA15E0">
        <w:rPr>
          <w:rFonts w:asciiTheme="minorHAnsi" w:hAnsiTheme="minorHAnsi" w:cstheme="minorHAnsi"/>
          <w:bCs/>
          <w:sz w:val="24"/>
          <w:szCs w:val="24"/>
        </w:rPr>
        <w:t xml:space="preserve"> examples of ICH include subarachnoid hemorrhage, intraventricular hemorrhage, epidural hemorrhage, and subdural conversion of infarctions,</w:t>
      </w:r>
    </w:p>
    <w:p w14:paraId="01958311" w14:textId="77777777" w:rsidR="00FA15E0" w:rsidRPr="00FA15E0" w:rsidRDefault="00FA15E0" w:rsidP="00FA15E0">
      <w:pPr>
        <w:pStyle w:val="TextOPHIE"/>
        <w:numPr>
          <w:ilvl w:val="0"/>
          <w:numId w:val="18"/>
        </w:numPr>
        <w:spacing w:line="276" w:lineRule="auto"/>
        <w:rPr>
          <w:rFonts w:asciiTheme="minorHAnsi" w:hAnsiTheme="minorHAnsi" w:cstheme="minorHAnsi"/>
          <w:bCs/>
          <w:sz w:val="24"/>
          <w:szCs w:val="24"/>
        </w:rPr>
      </w:pPr>
      <w:r w:rsidRPr="00FA15E0">
        <w:rPr>
          <w:rFonts w:asciiTheme="minorHAnsi" w:hAnsiTheme="minorHAnsi" w:cstheme="minorHAnsi"/>
          <w:bCs/>
          <w:sz w:val="24"/>
          <w:szCs w:val="24"/>
        </w:rPr>
        <w:t>Active internal bleeding,</w:t>
      </w:r>
    </w:p>
    <w:p w14:paraId="5FD1D18E" w14:textId="77777777" w:rsidR="00FA15E0" w:rsidRPr="00FA15E0" w:rsidRDefault="00FA15E0" w:rsidP="00FA15E0">
      <w:pPr>
        <w:pStyle w:val="TextOPHIE"/>
        <w:numPr>
          <w:ilvl w:val="0"/>
          <w:numId w:val="18"/>
        </w:numPr>
        <w:spacing w:line="276" w:lineRule="auto"/>
        <w:ind w:right="297"/>
        <w:jc w:val="both"/>
        <w:rPr>
          <w:rFonts w:asciiTheme="minorHAnsi" w:hAnsiTheme="minorHAnsi" w:cstheme="minorHAnsi"/>
          <w:bCs/>
          <w:sz w:val="24"/>
          <w:szCs w:val="24"/>
        </w:rPr>
      </w:pPr>
      <w:r w:rsidRPr="00FA15E0">
        <w:rPr>
          <w:rFonts w:asciiTheme="minorHAnsi" w:hAnsiTheme="minorHAnsi" w:cstheme="minorHAnsi"/>
          <w:bCs/>
          <w:sz w:val="24"/>
          <w:szCs w:val="24"/>
        </w:rPr>
        <w:t>Acute bleeding diathesis, low platelet count, increased PTT, INR ≥ 1.7, or use of NOAC (novel oral anticoagulant),</w:t>
      </w:r>
    </w:p>
    <w:p w14:paraId="0F611F23" w14:textId="77777777" w:rsidR="00FA15E0" w:rsidRPr="00FA15E0" w:rsidRDefault="00FA15E0" w:rsidP="00FA15E0">
      <w:pPr>
        <w:pStyle w:val="TextOPHIE"/>
        <w:numPr>
          <w:ilvl w:val="0"/>
          <w:numId w:val="18"/>
        </w:numPr>
        <w:spacing w:line="276" w:lineRule="auto"/>
        <w:ind w:right="297"/>
        <w:jc w:val="both"/>
        <w:rPr>
          <w:rFonts w:asciiTheme="minorHAnsi" w:hAnsiTheme="minorHAnsi" w:cstheme="minorHAnsi"/>
          <w:bCs/>
          <w:sz w:val="24"/>
          <w:szCs w:val="24"/>
        </w:rPr>
      </w:pPr>
      <w:r w:rsidRPr="00FA15E0">
        <w:rPr>
          <w:rFonts w:asciiTheme="minorHAnsi" w:hAnsiTheme="minorHAnsi" w:cstheme="minorHAnsi"/>
          <w:bCs/>
          <w:sz w:val="24"/>
          <w:szCs w:val="24"/>
        </w:rPr>
        <w:t>Symptoms suggest, subarachnoid hemorrhage,</w:t>
      </w:r>
    </w:p>
    <w:p w14:paraId="1BF44BE5" w14:textId="77777777" w:rsidR="00FA15E0" w:rsidRPr="00FA15E0" w:rsidRDefault="00FA15E0" w:rsidP="00FA15E0">
      <w:pPr>
        <w:pStyle w:val="TextOPHIE"/>
        <w:numPr>
          <w:ilvl w:val="0"/>
          <w:numId w:val="18"/>
        </w:numPr>
        <w:spacing w:line="276" w:lineRule="auto"/>
        <w:ind w:right="27"/>
        <w:jc w:val="both"/>
        <w:rPr>
          <w:rFonts w:asciiTheme="minorHAnsi" w:hAnsiTheme="minorHAnsi" w:cstheme="minorHAnsi"/>
          <w:bCs/>
          <w:sz w:val="24"/>
          <w:szCs w:val="24"/>
        </w:rPr>
      </w:pPr>
      <w:r w:rsidRPr="00FA15E0">
        <w:rPr>
          <w:rFonts w:asciiTheme="minorHAnsi" w:hAnsiTheme="minorHAnsi" w:cstheme="minorHAnsi"/>
          <w:bCs/>
          <w:sz w:val="24"/>
          <w:szCs w:val="24"/>
        </w:rPr>
        <w:t xml:space="preserve">CT Demonstrates a multilobar infarction (hypodensity &gt; 1/3 cerebral hemisphere), </w:t>
      </w:r>
    </w:p>
    <w:p w14:paraId="0610634A" w14:textId="77777777" w:rsidR="00FA15E0" w:rsidRPr="00FA15E0" w:rsidRDefault="00FA15E0" w:rsidP="00FA15E0">
      <w:pPr>
        <w:pStyle w:val="TextOPHIE"/>
        <w:numPr>
          <w:ilvl w:val="0"/>
          <w:numId w:val="18"/>
        </w:numPr>
        <w:spacing w:line="276" w:lineRule="auto"/>
        <w:ind w:right="27"/>
        <w:jc w:val="both"/>
        <w:rPr>
          <w:rFonts w:asciiTheme="minorHAnsi" w:hAnsiTheme="minorHAnsi" w:cstheme="minorHAnsi"/>
          <w:bCs/>
          <w:sz w:val="24"/>
          <w:szCs w:val="24"/>
        </w:rPr>
      </w:pPr>
      <w:r w:rsidRPr="00FA15E0">
        <w:rPr>
          <w:rFonts w:asciiTheme="minorHAnsi" w:hAnsiTheme="minorHAnsi" w:cstheme="minorHAnsi"/>
          <w:bCs/>
          <w:sz w:val="24"/>
          <w:szCs w:val="24"/>
        </w:rPr>
        <w:t>Arterial puncture at noncompressible site in previous seven days,</w:t>
      </w:r>
    </w:p>
    <w:p w14:paraId="3DBDD238" w14:textId="77777777" w:rsidR="00FA15E0" w:rsidRPr="00FA15E0" w:rsidRDefault="00FA15E0" w:rsidP="00FA15E0">
      <w:pPr>
        <w:pStyle w:val="TextOPHIE"/>
        <w:numPr>
          <w:ilvl w:val="0"/>
          <w:numId w:val="18"/>
        </w:numPr>
        <w:spacing w:line="276" w:lineRule="auto"/>
        <w:ind w:right="27"/>
        <w:jc w:val="both"/>
        <w:rPr>
          <w:rFonts w:asciiTheme="minorHAnsi" w:hAnsiTheme="minorHAnsi" w:cstheme="minorHAnsi"/>
          <w:bCs/>
          <w:sz w:val="24"/>
          <w:szCs w:val="24"/>
        </w:rPr>
      </w:pPr>
      <w:r w:rsidRPr="00FA15E0">
        <w:rPr>
          <w:rFonts w:asciiTheme="minorHAnsi" w:hAnsiTheme="minorHAnsi" w:cstheme="minorHAnsi"/>
          <w:bCs/>
          <w:sz w:val="24"/>
          <w:szCs w:val="24"/>
        </w:rPr>
        <w:t>Blood glucose concentration &lt; 50 mg/dl (2.7 mmol/L),</w:t>
      </w:r>
    </w:p>
    <w:p w14:paraId="36367AFF" w14:textId="77777777" w:rsidR="00FA15E0" w:rsidRPr="00FA15E0" w:rsidRDefault="00FA15E0" w:rsidP="00FA15E0">
      <w:pPr>
        <w:pStyle w:val="TextOPHIE"/>
        <w:numPr>
          <w:ilvl w:val="0"/>
          <w:numId w:val="18"/>
        </w:numPr>
        <w:spacing w:line="276" w:lineRule="auto"/>
        <w:ind w:right="297"/>
        <w:jc w:val="both"/>
        <w:rPr>
          <w:rFonts w:asciiTheme="minorHAnsi" w:hAnsiTheme="minorHAnsi" w:cstheme="minorHAnsi"/>
          <w:bCs/>
          <w:sz w:val="24"/>
          <w:szCs w:val="24"/>
        </w:rPr>
      </w:pPr>
      <w:r w:rsidRPr="00FA15E0">
        <w:rPr>
          <w:rFonts w:asciiTheme="minorHAnsi" w:hAnsiTheme="minorHAnsi" w:cstheme="minorHAnsi"/>
          <w:bCs/>
          <w:sz w:val="24"/>
          <w:szCs w:val="24"/>
        </w:rPr>
        <w:t>Severe uncontrolled hypertension</w:t>
      </w:r>
      <w:r w:rsidRPr="00FA15E0">
        <w:rPr>
          <w:rFonts w:asciiTheme="minorHAnsi" w:hAnsiTheme="minorHAnsi" w:cstheme="minorHAnsi"/>
          <w:b/>
          <w:sz w:val="24"/>
          <w:szCs w:val="24"/>
        </w:rPr>
        <w:t>:</w:t>
      </w:r>
      <w:r w:rsidRPr="00FA15E0">
        <w:rPr>
          <w:rFonts w:asciiTheme="minorHAnsi" w:hAnsiTheme="minorHAnsi" w:cstheme="minorHAnsi"/>
          <w:bCs/>
          <w:sz w:val="24"/>
          <w:szCs w:val="24"/>
        </w:rPr>
        <w:t xml:space="preserve"> Elevated blood pressure or hypertension at systolic &gt; 185 or diastolic &gt; 110 mmHg,</w:t>
      </w:r>
    </w:p>
    <w:p w14:paraId="63195B81" w14:textId="77777777" w:rsidR="00FA15E0" w:rsidRPr="00FA15E0" w:rsidRDefault="00FA15E0" w:rsidP="00FA15E0">
      <w:pPr>
        <w:pStyle w:val="TextOPHIE"/>
        <w:numPr>
          <w:ilvl w:val="0"/>
          <w:numId w:val="18"/>
        </w:numPr>
        <w:spacing w:line="276" w:lineRule="auto"/>
        <w:rPr>
          <w:rFonts w:asciiTheme="minorHAnsi" w:hAnsiTheme="minorHAnsi" w:cstheme="minorHAnsi"/>
          <w:bCs/>
          <w:sz w:val="24"/>
          <w:szCs w:val="24"/>
        </w:rPr>
      </w:pPr>
      <w:r w:rsidRPr="00FA15E0">
        <w:rPr>
          <w:rFonts w:asciiTheme="minorHAnsi" w:hAnsiTheme="minorHAnsi" w:cstheme="minorHAnsi"/>
          <w:bCs/>
          <w:sz w:val="24"/>
          <w:szCs w:val="24"/>
        </w:rPr>
        <w:t>Thrombocytopenia and coagulopathy, and</w:t>
      </w:r>
    </w:p>
    <w:p w14:paraId="5ED86005" w14:textId="77777777" w:rsidR="00FA15E0" w:rsidRPr="00FA15E0" w:rsidRDefault="00FA15E0" w:rsidP="00FA15E0">
      <w:pPr>
        <w:pStyle w:val="TextOPHIE"/>
        <w:numPr>
          <w:ilvl w:val="0"/>
          <w:numId w:val="18"/>
        </w:numPr>
        <w:spacing w:line="276" w:lineRule="auto"/>
        <w:jc w:val="both"/>
        <w:rPr>
          <w:rFonts w:asciiTheme="minorHAnsi" w:hAnsiTheme="minorHAnsi" w:cstheme="minorHAnsi"/>
          <w:sz w:val="24"/>
          <w:szCs w:val="24"/>
        </w:rPr>
      </w:pPr>
      <w:r w:rsidRPr="00FA15E0">
        <w:rPr>
          <w:rFonts w:asciiTheme="minorHAnsi" w:hAnsiTheme="minorHAnsi" w:cstheme="minorHAnsi"/>
          <w:bCs/>
          <w:sz w:val="24"/>
          <w:szCs w:val="24"/>
        </w:rPr>
        <w:t xml:space="preserve">More than two hours elapsed since the last known stroke event. </w:t>
      </w:r>
    </w:p>
    <w:p w14:paraId="095F0595" w14:textId="77777777" w:rsidR="00AB1C4C" w:rsidRPr="00FA15E0" w:rsidRDefault="00AB1C4C" w:rsidP="00FA15E0">
      <w:pPr>
        <w:pStyle w:val="TextOPHIE"/>
        <w:spacing w:line="276" w:lineRule="auto"/>
        <w:jc w:val="both"/>
        <w:rPr>
          <w:rFonts w:asciiTheme="minorHAnsi" w:hAnsiTheme="minorHAnsi" w:cstheme="minorHAnsi"/>
          <w:sz w:val="24"/>
          <w:szCs w:val="24"/>
        </w:rPr>
      </w:pPr>
    </w:p>
    <w:p w14:paraId="4738E8BB" w14:textId="77777777" w:rsidR="00FA15E0" w:rsidRPr="00FA15E0" w:rsidRDefault="00FA15E0" w:rsidP="00FA15E0">
      <w:pPr>
        <w:pStyle w:val="TextOPHIE"/>
        <w:spacing w:line="276" w:lineRule="auto"/>
        <w:jc w:val="both"/>
        <w:rPr>
          <w:rFonts w:asciiTheme="minorHAnsi" w:hAnsiTheme="minorHAnsi" w:cstheme="minorHAnsi"/>
          <w:sz w:val="24"/>
          <w:szCs w:val="24"/>
        </w:rPr>
      </w:pPr>
      <w:r w:rsidRPr="00FA15E0">
        <w:rPr>
          <w:rFonts w:asciiTheme="minorHAnsi" w:hAnsiTheme="minorHAnsi" w:cstheme="minorHAnsi"/>
          <w:sz w:val="24"/>
          <w:szCs w:val="24"/>
        </w:rPr>
        <w:t xml:space="preserve">Focused efforts to increase awareness regarding key time periods for administration, the benefits of use, and the importance of administration in a continuum of care may improve this performance measure. </w:t>
      </w:r>
    </w:p>
    <w:p w14:paraId="13570F3F" w14:textId="77777777" w:rsidR="00472D4F" w:rsidRPr="00FA15E0" w:rsidRDefault="00472D4F" w:rsidP="00C22EB3">
      <w:pPr>
        <w:pStyle w:val="TextOPHIE"/>
        <w:spacing w:line="276" w:lineRule="auto"/>
        <w:jc w:val="both"/>
        <w:rPr>
          <w:rFonts w:asciiTheme="minorHAnsi" w:hAnsiTheme="minorHAnsi" w:cstheme="minorHAnsi"/>
          <w:sz w:val="24"/>
          <w:szCs w:val="24"/>
        </w:rPr>
      </w:pPr>
    </w:p>
    <w:p w14:paraId="4A678FCD" w14:textId="515C59A4" w:rsidR="006F7C3F" w:rsidRPr="00801711" w:rsidRDefault="000D28E5" w:rsidP="00C22EB3">
      <w:pPr>
        <w:pStyle w:val="HeadingOPHIE"/>
        <w:spacing w:before="0" w:after="0"/>
        <w:rPr>
          <w:rFonts w:asciiTheme="minorHAnsi" w:hAnsiTheme="minorHAnsi" w:cstheme="minorHAnsi"/>
          <w:sz w:val="72"/>
          <w:szCs w:val="24"/>
        </w:rPr>
      </w:pPr>
      <w:r w:rsidRPr="00801711">
        <w:rPr>
          <w:rFonts w:asciiTheme="minorHAnsi" w:hAnsiTheme="minorHAnsi" w:cstheme="minorHAnsi"/>
          <w:color w:val="auto"/>
          <w:sz w:val="36"/>
          <w:szCs w:val="36"/>
        </w:rPr>
        <w:t xml:space="preserve">Early </w:t>
      </w:r>
      <w:r w:rsidR="00CE2F8F" w:rsidRPr="00801711">
        <w:rPr>
          <w:rFonts w:asciiTheme="minorHAnsi" w:hAnsiTheme="minorHAnsi" w:cstheme="minorHAnsi"/>
          <w:color w:val="auto"/>
          <w:sz w:val="36"/>
          <w:szCs w:val="36"/>
        </w:rPr>
        <w:t>Antithrombotic</w:t>
      </w:r>
      <w:r w:rsidR="00853F5D" w:rsidRPr="00801711">
        <w:rPr>
          <w:rFonts w:asciiTheme="minorHAnsi" w:hAnsiTheme="minorHAnsi" w:cstheme="minorHAnsi"/>
          <w:color w:val="auto"/>
          <w:sz w:val="36"/>
          <w:szCs w:val="36"/>
        </w:rPr>
        <w:t xml:space="preserve"> Therapy</w:t>
      </w:r>
    </w:p>
    <w:p w14:paraId="70E7AF61" w14:textId="4AF31CAF" w:rsidR="003A3369" w:rsidRDefault="00CD010C" w:rsidP="00C22EB3">
      <w:pPr>
        <w:pStyle w:val="Style1"/>
        <w:spacing w:line="276" w:lineRule="auto"/>
        <w:ind w:right="47"/>
        <w:jc w:val="both"/>
        <w:rPr>
          <w:rFonts w:asciiTheme="minorHAnsi" w:hAnsiTheme="minorHAnsi" w:cstheme="minorHAnsi"/>
          <w:b w:val="0"/>
          <w:color w:val="auto"/>
          <w:sz w:val="24"/>
          <w:szCs w:val="22"/>
        </w:rPr>
      </w:pPr>
      <w:r w:rsidRPr="008E6FA8">
        <w:rPr>
          <w:rFonts w:asciiTheme="minorHAnsi" w:hAnsiTheme="minorHAnsi" w:cstheme="minorHAnsi"/>
          <w:b w:val="0"/>
          <w:color w:val="auto"/>
          <w:sz w:val="24"/>
          <w:szCs w:val="22"/>
        </w:rPr>
        <w:t>Early antithrombotic therapy (before the end of the second hospital day) remained constant from 201</w:t>
      </w:r>
      <w:r w:rsidR="00823A25">
        <w:rPr>
          <w:rFonts w:asciiTheme="minorHAnsi" w:hAnsiTheme="minorHAnsi" w:cstheme="minorHAnsi"/>
          <w:b w:val="0"/>
          <w:color w:val="auto"/>
          <w:sz w:val="24"/>
          <w:szCs w:val="22"/>
        </w:rPr>
        <w:t>4</w:t>
      </w:r>
      <w:r w:rsidRPr="008E6FA8">
        <w:rPr>
          <w:rFonts w:asciiTheme="minorHAnsi" w:hAnsiTheme="minorHAnsi" w:cstheme="minorHAnsi"/>
          <w:b w:val="0"/>
          <w:color w:val="auto"/>
          <w:sz w:val="24"/>
          <w:szCs w:val="22"/>
        </w:rPr>
        <w:t xml:space="preserve"> to 201</w:t>
      </w:r>
      <w:r w:rsidR="00823A25">
        <w:rPr>
          <w:rFonts w:asciiTheme="minorHAnsi" w:hAnsiTheme="minorHAnsi" w:cstheme="minorHAnsi"/>
          <w:b w:val="0"/>
          <w:color w:val="auto"/>
          <w:sz w:val="24"/>
          <w:szCs w:val="22"/>
        </w:rPr>
        <w:t>9</w:t>
      </w:r>
      <w:r w:rsidRPr="008E6FA8">
        <w:rPr>
          <w:rFonts w:asciiTheme="minorHAnsi" w:hAnsiTheme="minorHAnsi" w:cstheme="minorHAnsi"/>
          <w:b w:val="0"/>
          <w:color w:val="auto"/>
          <w:sz w:val="24"/>
          <w:szCs w:val="22"/>
        </w:rPr>
        <w:t xml:space="preserve">. </w:t>
      </w:r>
      <w:r w:rsidR="00823A25">
        <w:rPr>
          <w:rFonts w:asciiTheme="minorHAnsi" w:hAnsiTheme="minorHAnsi" w:cstheme="minorHAnsi"/>
          <w:b w:val="0"/>
          <w:color w:val="auto"/>
          <w:sz w:val="24"/>
          <w:szCs w:val="22"/>
        </w:rPr>
        <w:t xml:space="preserve">The data indicates </w:t>
      </w:r>
      <w:r w:rsidRPr="008E6FA8">
        <w:rPr>
          <w:rFonts w:asciiTheme="minorHAnsi" w:hAnsiTheme="minorHAnsi" w:cstheme="minorHAnsi"/>
          <w:b w:val="0"/>
          <w:color w:val="auto"/>
          <w:sz w:val="24"/>
          <w:szCs w:val="22"/>
        </w:rPr>
        <w:t>a small decline in mortality</w:t>
      </w:r>
      <w:r w:rsidR="00823A25">
        <w:rPr>
          <w:rFonts w:asciiTheme="minorHAnsi" w:hAnsiTheme="minorHAnsi" w:cstheme="minorHAnsi"/>
          <w:b w:val="0"/>
          <w:color w:val="auto"/>
          <w:sz w:val="24"/>
          <w:szCs w:val="22"/>
        </w:rPr>
        <w:t xml:space="preserve"> rates</w:t>
      </w:r>
      <w:r w:rsidRPr="008E6FA8">
        <w:rPr>
          <w:rFonts w:asciiTheme="minorHAnsi" w:hAnsiTheme="minorHAnsi" w:cstheme="minorHAnsi"/>
          <w:b w:val="0"/>
          <w:color w:val="auto"/>
          <w:sz w:val="24"/>
          <w:szCs w:val="22"/>
        </w:rPr>
        <w:t xml:space="preserve"> and </w:t>
      </w:r>
      <w:r w:rsidR="00823A25">
        <w:rPr>
          <w:rFonts w:asciiTheme="minorHAnsi" w:hAnsiTheme="minorHAnsi" w:cstheme="minorHAnsi"/>
          <w:b w:val="0"/>
          <w:color w:val="auto"/>
          <w:sz w:val="24"/>
          <w:szCs w:val="22"/>
        </w:rPr>
        <w:t xml:space="preserve">an </w:t>
      </w:r>
      <w:r w:rsidRPr="008E6FA8">
        <w:rPr>
          <w:rFonts w:asciiTheme="minorHAnsi" w:hAnsiTheme="minorHAnsi" w:cstheme="minorHAnsi"/>
          <w:b w:val="0"/>
          <w:color w:val="auto"/>
          <w:sz w:val="24"/>
          <w:szCs w:val="22"/>
        </w:rPr>
        <w:t xml:space="preserve">unfavorable outcome with the administration of aspirin within 48 hours after </w:t>
      </w:r>
      <w:r w:rsidR="00823A25">
        <w:rPr>
          <w:rFonts w:asciiTheme="minorHAnsi" w:hAnsiTheme="minorHAnsi" w:cstheme="minorHAnsi"/>
          <w:b w:val="0"/>
          <w:color w:val="auto"/>
          <w:sz w:val="24"/>
          <w:szCs w:val="22"/>
        </w:rPr>
        <w:t xml:space="preserve">a </w:t>
      </w:r>
      <w:r w:rsidRPr="008E6FA8">
        <w:rPr>
          <w:rFonts w:asciiTheme="minorHAnsi" w:hAnsiTheme="minorHAnsi" w:cstheme="minorHAnsi"/>
          <w:b w:val="0"/>
          <w:color w:val="auto"/>
          <w:sz w:val="24"/>
          <w:szCs w:val="22"/>
        </w:rPr>
        <w:t xml:space="preserve">stroke. </w:t>
      </w:r>
      <w:r w:rsidR="00823A25">
        <w:rPr>
          <w:rFonts w:asciiTheme="minorHAnsi" w:hAnsiTheme="minorHAnsi" w:cstheme="minorHAnsi"/>
          <w:b w:val="0"/>
          <w:color w:val="auto"/>
          <w:sz w:val="24"/>
          <w:szCs w:val="22"/>
        </w:rPr>
        <w:t>T</w:t>
      </w:r>
      <w:r w:rsidRPr="008E6FA8">
        <w:rPr>
          <w:rFonts w:asciiTheme="minorHAnsi" w:hAnsiTheme="minorHAnsi" w:cstheme="minorHAnsi"/>
          <w:b w:val="0"/>
          <w:color w:val="auto"/>
          <w:sz w:val="24"/>
          <w:szCs w:val="22"/>
        </w:rPr>
        <w:t>he primary effects of aspirin are attribut</w:t>
      </w:r>
      <w:r w:rsidR="00823A25">
        <w:rPr>
          <w:rFonts w:asciiTheme="minorHAnsi" w:hAnsiTheme="minorHAnsi" w:cstheme="minorHAnsi"/>
          <w:b w:val="0"/>
          <w:color w:val="auto"/>
          <w:sz w:val="24"/>
          <w:szCs w:val="22"/>
        </w:rPr>
        <w:t>ed</w:t>
      </w:r>
      <w:r w:rsidRPr="008E6FA8">
        <w:rPr>
          <w:rFonts w:asciiTheme="minorHAnsi" w:hAnsiTheme="minorHAnsi" w:cstheme="minorHAnsi"/>
          <w:b w:val="0"/>
          <w:color w:val="auto"/>
          <w:sz w:val="24"/>
          <w:szCs w:val="22"/>
        </w:rPr>
        <w:t xml:space="preserve"> to a reduction in early recurrent </w:t>
      </w:r>
      <w:r w:rsidR="00B96DFA" w:rsidRPr="008E6FA8">
        <w:rPr>
          <w:rFonts w:asciiTheme="minorHAnsi" w:hAnsiTheme="minorHAnsi" w:cstheme="minorHAnsi"/>
          <w:b w:val="0"/>
          <w:color w:val="auto"/>
          <w:sz w:val="24"/>
          <w:szCs w:val="22"/>
        </w:rPr>
        <w:t>stroke,</w:t>
      </w:r>
      <w:r w:rsidR="00B96DFA">
        <w:rPr>
          <w:rFonts w:asciiTheme="minorHAnsi" w:hAnsiTheme="minorHAnsi" w:cstheme="minorHAnsi"/>
          <w:b w:val="0"/>
          <w:color w:val="auto"/>
          <w:sz w:val="24"/>
          <w:szCs w:val="22"/>
        </w:rPr>
        <w:t xml:space="preserve"> but consideration needs to be made about the risks associated with the use of aspirin. </w:t>
      </w:r>
    </w:p>
    <w:p w14:paraId="694594A1" w14:textId="77777777" w:rsidR="005731E0" w:rsidRPr="00EF5945" w:rsidRDefault="005731E0" w:rsidP="00C22EB3">
      <w:pPr>
        <w:pStyle w:val="Style1"/>
        <w:spacing w:line="276" w:lineRule="auto"/>
        <w:ind w:right="47"/>
        <w:jc w:val="both"/>
        <w:rPr>
          <w:rFonts w:asciiTheme="minorHAnsi" w:hAnsiTheme="minorHAnsi" w:cstheme="minorHAnsi"/>
          <w:b w:val="0"/>
          <w:color w:val="auto"/>
          <w:sz w:val="20"/>
          <w:szCs w:val="18"/>
        </w:rPr>
      </w:pPr>
    </w:p>
    <w:p w14:paraId="5E3B5DEE" w14:textId="77777777" w:rsidR="00B96DFA" w:rsidRDefault="00B96DFA" w:rsidP="00C22EB3">
      <w:pPr>
        <w:pStyle w:val="TextOPHIE"/>
        <w:spacing w:line="276" w:lineRule="auto"/>
        <w:jc w:val="both"/>
        <w:rPr>
          <w:rFonts w:asciiTheme="minorHAnsi" w:hAnsiTheme="minorHAnsi" w:cstheme="minorHAnsi"/>
          <w:sz w:val="24"/>
          <w:szCs w:val="24"/>
        </w:rPr>
      </w:pPr>
      <w:r w:rsidRPr="001B3C83">
        <w:rPr>
          <w:rFonts w:asciiTheme="minorHAnsi" w:hAnsiTheme="minorHAnsi" w:cstheme="minorHAnsi"/>
          <w:sz w:val="24"/>
          <w:szCs w:val="24"/>
        </w:rPr>
        <w:t>The percent of patients with an ischemic stroke or TIA (</w:t>
      </w:r>
      <w:r>
        <w:rPr>
          <w:rFonts w:asciiTheme="minorHAnsi" w:hAnsiTheme="minorHAnsi" w:cstheme="minorHAnsi"/>
          <w:sz w:val="24"/>
          <w:szCs w:val="24"/>
        </w:rPr>
        <w:t>F</w:t>
      </w:r>
      <w:r w:rsidRPr="001B3C83">
        <w:rPr>
          <w:rFonts w:asciiTheme="minorHAnsi" w:hAnsiTheme="minorHAnsi" w:cstheme="minorHAnsi"/>
          <w:sz w:val="24"/>
          <w:szCs w:val="24"/>
        </w:rPr>
        <w:t xml:space="preserve">igure 16) who received antithrombotic therapy by the end of the second hospital day decreased from 95.9 percent in 2018 to 95.6 percent in 2019. </w:t>
      </w:r>
    </w:p>
    <w:p w14:paraId="268F6953" w14:textId="77777777" w:rsidR="00B96DFA" w:rsidRPr="00EF5945" w:rsidRDefault="00B96DFA" w:rsidP="00C22EB3">
      <w:pPr>
        <w:pStyle w:val="TextOPHIE"/>
        <w:spacing w:line="276" w:lineRule="auto"/>
        <w:jc w:val="both"/>
        <w:rPr>
          <w:rFonts w:asciiTheme="minorHAnsi" w:hAnsiTheme="minorHAnsi" w:cstheme="minorHAnsi"/>
          <w:sz w:val="20"/>
          <w:szCs w:val="20"/>
        </w:rPr>
      </w:pPr>
    </w:p>
    <w:p w14:paraId="66C86446" w14:textId="77777777" w:rsidR="00B96DFA" w:rsidRPr="00A33263" w:rsidRDefault="00B96DFA" w:rsidP="00C22EB3">
      <w:pPr>
        <w:pStyle w:val="TextOPHIE"/>
        <w:spacing w:line="276" w:lineRule="auto"/>
        <w:jc w:val="both"/>
        <w:rPr>
          <w:rFonts w:asciiTheme="minorHAnsi" w:hAnsiTheme="minorHAnsi" w:cstheme="minorHAnsi"/>
          <w:bCs/>
          <w:sz w:val="24"/>
          <w:szCs w:val="24"/>
        </w:rPr>
      </w:pPr>
      <w:r w:rsidRPr="00A33263">
        <w:rPr>
          <w:rFonts w:asciiTheme="minorHAnsi" w:hAnsiTheme="minorHAnsi" w:cstheme="minorHAnsi"/>
          <w:bCs/>
          <w:sz w:val="24"/>
          <w:szCs w:val="24"/>
        </w:rPr>
        <w:t>Focusing on statewide efforts to identify barriers for the use of early antithrombotic therapy under appropriate conditions may be a path to improve the outcome for this performance measure statewide.</w:t>
      </w:r>
    </w:p>
    <w:p w14:paraId="540BBDCD" w14:textId="77777777" w:rsidR="007A5251" w:rsidRPr="007A5251" w:rsidRDefault="007A5251" w:rsidP="00C22EB3">
      <w:pPr>
        <w:pStyle w:val="TextOPHIE"/>
        <w:spacing w:line="276" w:lineRule="auto"/>
        <w:jc w:val="both"/>
        <w:rPr>
          <w:rFonts w:asciiTheme="minorHAnsi" w:hAnsiTheme="minorHAnsi" w:cstheme="minorHAnsi"/>
          <w:sz w:val="24"/>
          <w:szCs w:val="24"/>
        </w:rPr>
      </w:pPr>
    </w:p>
    <w:p w14:paraId="2B9C18B1" w14:textId="3A811637" w:rsidR="005B562D" w:rsidRPr="00272F5A" w:rsidRDefault="005B562D" w:rsidP="00AC014B">
      <w:pPr>
        <w:pStyle w:val="TextOPHIE"/>
        <w:tabs>
          <w:tab w:val="left" w:pos="10260"/>
        </w:tabs>
        <w:spacing w:after="60"/>
        <w:ind w:right="540"/>
        <w:rPr>
          <w:rFonts w:asciiTheme="minorHAnsi" w:hAnsiTheme="minorHAnsi" w:cstheme="minorHAnsi"/>
          <w:sz w:val="24"/>
        </w:rPr>
      </w:pPr>
      <w:r w:rsidRPr="008E6FA8">
        <w:rPr>
          <w:rFonts w:asciiTheme="minorHAnsi" w:hAnsiTheme="minorHAnsi" w:cstheme="minorHAnsi"/>
          <w:b/>
          <w:bCs/>
          <w:sz w:val="24"/>
        </w:rPr>
        <w:t>Figure 16. Percent of Patients with Ischemic Stroke or TIA Who Receive</w:t>
      </w:r>
      <w:r w:rsidR="001B3C83">
        <w:rPr>
          <w:rFonts w:asciiTheme="minorHAnsi" w:hAnsiTheme="minorHAnsi" w:cstheme="minorHAnsi"/>
          <w:b/>
          <w:bCs/>
          <w:sz w:val="24"/>
        </w:rPr>
        <w:t xml:space="preserve"> </w:t>
      </w:r>
      <w:r w:rsidRPr="008E6FA8">
        <w:rPr>
          <w:rFonts w:asciiTheme="minorHAnsi" w:hAnsiTheme="minorHAnsi" w:cstheme="minorHAnsi"/>
          <w:b/>
          <w:bCs/>
          <w:sz w:val="24"/>
        </w:rPr>
        <w:t xml:space="preserve">Antithrombotic Therapy by the End of </w:t>
      </w:r>
      <w:r w:rsidR="00823A25">
        <w:rPr>
          <w:rFonts w:asciiTheme="minorHAnsi" w:hAnsiTheme="minorHAnsi" w:cstheme="minorHAnsi"/>
          <w:b/>
          <w:bCs/>
          <w:sz w:val="24"/>
        </w:rPr>
        <w:t xml:space="preserve">the </w:t>
      </w:r>
      <w:r w:rsidRPr="008E6FA8">
        <w:rPr>
          <w:rFonts w:asciiTheme="minorHAnsi" w:hAnsiTheme="minorHAnsi" w:cstheme="minorHAnsi"/>
          <w:b/>
          <w:bCs/>
          <w:sz w:val="24"/>
        </w:rPr>
        <w:t>Hospital Day Two, 201</w:t>
      </w:r>
      <w:r>
        <w:rPr>
          <w:rFonts w:asciiTheme="minorHAnsi" w:hAnsiTheme="minorHAnsi" w:cstheme="minorHAnsi"/>
          <w:b/>
          <w:bCs/>
          <w:sz w:val="24"/>
        </w:rPr>
        <w:t>4</w:t>
      </w:r>
      <w:r w:rsidRPr="008E6FA8">
        <w:rPr>
          <w:rFonts w:asciiTheme="minorHAnsi" w:hAnsiTheme="minorHAnsi" w:cstheme="minorHAnsi"/>
          <w:b/>
          <w:bCs/>
          <w:sz w:val="24"/>
        </w:rPr>
        <w:t>-201</w:t>
      </w:r>
      <w:r>
        <w:rPr>
          <w:rFonts w:asciiTheme="minorHAnsi" w:hAnsiTheme="minorHAnsi" w:cstheme="minorHAnsi"/>
          <w:b/>
          <w:bCs/>
          <w:sz w:val="24"/>
        </w:rPr>
        <w:t>9</w:t>
      </w:r>
    </w:p>
    <w:p w14:paraId="1E6BF706" w14:textId="77777777" w:rsidR="005B562D" w:rsidRPr="00EB70C1" w:rsidRDefault="005B562D" w:rsidP="00792B88">
      <w:pPr>
        <w:spacing w:after="0"/>
        <w:rPr>
          <w:rFonts w:cstheme="minorHAnsi"/>
        </w:rPr>
      </w:pPr>
      <w:r w:rsidRPr="008E6FA8">
        <w:rPr>
          <w:noProof/>
          <w:shd w:val="clear" w:color="auto" w:fill="1F3864" w:themeFill="accent5" w:themeFillShade="80"/>
        </w:rPr>
        <w:drawing>
          <wp:inline distT="0" distB="0" distL="0" distR="0" wp14:anchorId="57CF4177" wp14:editId="2D1CB5ED">
            <wp:extent cx="6768465" cy="1645920"/>
            <wp:effectExtent l="0" t="0" r="13335" b="11430"/>
            <wp:docPr id="40" name="Chart 40">
              <a:extLst xmlns:a="http://schemas.openxmlformats.org/drawingml/2006/main">
                <a:ext uri="{FF2B5EF4-FFF2-40B4-BE49-F238E27FC236}">
                  <a16:creationId xmlns:a16="http://schemas.microsoft.com/office/drawing/2014/main" id="{FE724D96-3431-4D0C-A60E-7013AED9CC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EF067EA" w14:textId="3E076B1C" w:rsidR="005B562D" w:rsidRDefault="005B562D" w:rsidP="00AC014B">
      <w:pPr>
        <w:spacing w:before="60" w:after="0"/>
        <w:rPr>
          <w:rFonts w:cstheme="minorHAnsi"/>
          <w:sz w:val="16"/>
          <w:szCs w:val="16"/>
        </w:rPr>
      </w:pPr>
      <w:r w:rsidRPr="00044541">
        <w:rPr>
          <w:rFonts w:cstheme="minorHAnsi"/>
          <w:b/>
          <w:bCs/>
          <w:sz w:val="16"/>
          <w:szCs w:val="16"/>
        </w:rPr>
        <w:t xml:space="preserve">Source: </w:t>
      </w:r>
      <w:r>
        <w:rPr>
          <w:rFonts w:cstheme="minorHAnsi"/>
          <w:sz w:val="16"/>
          <w:szCs w:val="16"/>
        </w:rPr>
        <w:t xml:space="preserve">American Stroke Association. </w:t>
      </w:r>
      <w:r w:rsidRPr="008E6FA8">
        <w:rPr>
          <w:rFonts w:cstheme="minorHAnsi"/>
          <w:i/>
          <w:iCs/>
          <w:sz w:val="16"/>
          <w:szCs w:val="16"/>
        </w:rPr>
        <w:t xml:space="preserve">Get </w:t>
      </w:r>
      <w:proofErr w:type="gramStart"/>
      <w:r w:rsidRPr="008E6FA8">
        <w:rPr>
          <w:rFonts w:cstheme="minorHAnsi"/>
          <w:i/>
          <w:iCs/>
          <w:sz w:val="16"/>
          <w:szCs w:val="16"/>
        </w:rPr>
        <w:t>With</w:t>
      </w:r>
      <w:proofErr w:type="gramEnd"/>
      <w:r w:rsidRPr="008E6FA8">
        <w:rPr>
          <w:rFonts w:cstheme="minorHAnsi"/>
          <w:i/>
          <w:iCs/>
          <w:sz w:val="16"/>
          <w:szCs w:val="16"/>
        </w:rPr>
        <w:t xml:space="preserve"> The Guidelines</w:t>
      </w:r>
      <w:r>
        <w:rPr>
          <w:rFonts w:cstheme="minorHAnsi"/>
          <w:i/>
          <w:iCs/>
          <w:sz w:val="16"/>
          <w:szCs w:val="16"/>
        </w:rPr>
        <w:t xml:space="preserve"> - Stroke</w:t>
      </w:r>
      <w:r w:rsidRPr="008E6FA8">
        <w:rPr>
          <w:rFonts w:cstheme="minorHAnsi"/>
          <w:i/>
          <w:iCs/>
          <w:sz w:val="16"/>
          <w:szCs w:val="16"/>
        </w:rPr>
        <w:t xml:space="preserve"> Data</w:t>
      </w:r>
      <w:r>
        <w:rPr>
          <w:rFonts w:cstheme="minorHAnsi"/>
          <w:i/>
          <w:iCs/>
          <w:sz w:val="16"/>
          <w:szCs w:val="16"/>
        </w:rPr>
        <w:t xml:space="preserve"> Registry</w:t>
      </w:r>
      <w:r w:rsidRPr="008E6FA8">
        <w:rPr>
          <w:rFonts w:cstheme="minorHAnsi"/>
          <w:i/>
          <w:iCs/>
          <w:sz w:val="16"/>
          <w:szCs w:val="16"/>
        </w:rPr>
        <w:t xml:space="preserve"> System</w:t>
      </w:r>
      <w:r>
        <w:rPr>
          <w:rFonts w:cstheme="minorHAnsi"/>
          <w:sz w:val="16"/>
          <w:szCs w:val="16"/>
        </w:rPr>
        <w:t xml:space="preserve">. </w:t>
      </w:r>
      <w:r w:rsidRPr="00044541">
        <w:rPr>
          <w:rFonts w:cstheme="minorHAnsi"/>
          <w:sz w:val="16"/>
          <w:szCs w:val="16"/>
        </w:rPr>
        <w:t>Atlanta, Georgia: U.S. Department of Health and Human Services, Centers for Disease Control and Prevention,</w:t>
      </w:r>
      <w:r w:rsidR="00F550A1">
        <w:rPr>
          <w:rFonts w:cstheme="minorHAnsi"/>
          <w:sz w:val="16"/>
          <w:szCs w:val="16"/>
        </w:rPr>
        <w:t xml:space="preserve"> 2014-2019. </w:t>
      </w:r>
      <w:r w:rsidRPr="00044541">
        <w:rPr>
          <w:rFonts w:cstheme="minorHAnsi"/>
          <w:sz w:val="16"/>
          <w:szCs w:val="16"/>
        </w:rPr>
        <w:t xml:space="preserve"> </w:t>
      </w:r>
    </w:p>
    <w:p w14:paraId="3DA4EE3C" w14:textId="77777777" w:rsidR="001D6A3E" w:rsidRPr="00173985" w:rsidRDefault="001D6A3E" w:rsidP="00173985">
      <w:pPr>
        <w:spacing w:after="0"/>
        <w:ind w:right="666"/>
        <w:rPr>
          <w:rFonts w:cstheme="minorHAnsi"/>
          <w:sz w:val="24"/>
          <w:szCs w:val="24"/>
        </w:rPr>
      </w:pPr>
    </w:p>
    <w:p w14:paraId="2DCDBB28" w14:textId="39FAD96C" w:rsidR="00CD010C" w:rsidRPr="00173985" w:rsidRDefault="00CD010C" w:rsidP="00173985">
      <w:pPr>
        <w:spacing w:after="0"/>
        <w:rPr>
          <w:rFonts w:cstheme="minorHAnsi"/>
          <w:b/>
          <w:sz w:val="24"/>
          <w:szCs w:val="24"/>
        </w:rPr>
      </w:pPr>
      <w:r w:rsidRPr="00173985">
        <w:rPr>
          <w:rFonts w:cstheme="minorHAnsi"/>
          <w:b/>
          <w:sz w:val="24"/>
          <w:szCs w:val="24"/>
        </w:rPr>
        <w:lastRenderedPageBreak/>
        <w:t xml:space="preserve">Time to Intravenous Thrombolytic Therapy </w:t>
      </w:r>
    </w:p>
    <w:p w14:paraId="6F15D6A1" w14:textId="7A870990" w:rsidR="00DC2A6A" w:rsidRPr="00B96DFA" w:rsidRDefault="00DC2A6A" w:rsidP="00B96DFA">
      <w:pPr>
        <w:pStyle w:val="TextOPHIE"/>
        <w:spacing w:line="276" w:lineRule="auto"/>
        <w:ind w:right="540"/>
        <w:jc w:val="both"/>
        <w:rPr>
          <w:rFonts w:asciiTheme="minorHAnsi" w:hAnsiTheme="minorHAnsi" w:cstheme="minorHAnsi"/>
          <w:sz w:val="24"/>
          <w:szCs w:val="24"/>
        </w:rPr>
      </w:pPr>
      <w:r w:rsidRPr="00B96DFA">
        <w:rPr>
          <w:rFonts w:asciiTheme="minorHAnsi" w:hAnsiTheme="minorHAnsi" w:cstheme="minorHAnsi"/>
          <w:bCs/>
          <w:sz w:val="24"/>
          <w:szCs w:val="24"/>
        </w:rPr>
        <w:t>Thrombolytic therapy</w:t>
      </w:r>
      <w:r w:rsidRPr="00B96DFA">
        <w:rPr>
          <w:rFonts w:asciiTheme="minorHAnsi" w:hAnsiTheme="minorHAnsi" w:cstheme="minorHAnsi"/>
          <w:sz w:val="24"/>
          <w:szCs w:val="24"/>
        </w:rPr>
        <w:t xml:space="preserve"> is not part of the ten core consensus measures, but it highlights improving statewide performance as well as an opportunity for additional statewide quality improvement. </w:t>
      </w:r>
    </w:p>
    <w:p w14:paraId="14752E53" w14:textId="6E7EE131" w:rsidR="00DC2A6A" w:rsidRPr="00B96DFA" w:rsidRDefault="00DC2A6A" w:rsidP="00B96DFA">
      <w:pPr>
        <w:pStyle w:val="TextOPHIE"/>
        <w:spacing w:line="276" w:lineRule="auto"/>
        <w:ind w:right="540"/>
        <w:jc w:val="both"/>
        <w:rPr>
          <w:rFonts w:asciiTheme="minorHAnsi" w:hAnsiTheme="minorHAnsi" w:cstheme="minorHAnsi"/>
          <w:sz w:val="24"/>
          <w:szCs w:val="24"/>
        </w:rPr>
      </w:pPr>
    </w:p>
    <w:p w14:paraId="59553336" w14:textId="77777777" w:rsidR="00B96DFA" w:rsidRPr="00B96DFA" w:rsidRDefault="00B96DFA" w:rsidP="00B96DFA">
      <w:pPr>
        <w:pStyle w:val="TextOPHIE"/>
        <w:spacing w:line="276" w:lineRule="auto"/>
        <w:ind w:right="540"/>
        <w:jc w:val="both"/>
        <w:rPr>
          <w:rFonts w:asciiTheme="minorHAnsi" w:hAnsiTheme="minorHAnsi" w:cstheme="minorHAnsi"/>
          <w:sz w:val="24"/>
          <w:szCs w:val="24"/>
        </w:rPr>
      </w:pPr>
      <w:commentRangeStart w:id="12"/>
      <w:r w:rsidRPr="00B96DFA">
        <w:rPr>
          <w:rFonts w:asciiTheme="minorHAnsi" w:hAnsiTheme="minorHAnsi" w:cstheme="minorHAnsi"/>
          <w:sz w:val="24"/>
          <w:szCs w:val="24"/>
        </w:rPr>
        <w:t xml:space="preserve">The percentage of patients who received intravenous thrombolytic therapy within 60 minutes from 2014 to 2019 is illustrated in Figure 17. This indicates the need to continue increasing statewide performance regarding significant improvement in the percent of Acute Ischemic Stroke patients who receive IV </w:t>
      </w:r>
      <w:proofErr w:type="spellStart"/>
      <w:r w:rsidRPr="00B96DFA">
        <w:rPr>
          <w:rFonts w:asciiTheme="minorHAnsi" w:hAnsiTheme="minorHAnsi" w:cstheme="minorHAnsi"/>
          <w:sz w:val="24"/>
          <w:szCs w:val="24"/>
        </w:rPr>
        <w:t>tPA</w:t>
      </w:r>
      <w:proofErr w:type="spellEnd"/>
      <w:r w:rsidRPr="00B96DFA">
        <w:rPr>
          <w:rFonts w:asciiTheme="minorHAnsi" w:hAnsiTheme="minorHAnsi" w:cstheme="minorHAnsi"/>
          <w:sz w:val="24"/>
          <w:szCs w:val="24"/>
        </w:rPr>
        <w:t xml:space="preserve"> within 60 minutes or less</w:t>
      </w:r>
      <w:commentRangeEnd w:id="12"/>
      <w:r w:rsidRPr="00B96DFA">
        <w:rPr>
          <w:rStyle w:val="CommentReference"/>
          <w:rFonts w:asciiTheme="minorHAnsi" w:hAnsiTheme="minorHAnsi" w:cstheme="minorBidi"/>
          <w:sz w:val="24"/>
          <w:szCs w:val="24"/>
        </w:rPr>
        <w:commentReference w:id="12"/>
      </w:r>
      <w:r w:rsidRPr="00B96DFA">
        <w:rPr>
          <w:rFonts w:asciiTheme="minorHAnsi" w:hAnsiTheme="minorHAnsi" w:cstheme="minorHAnsi"/>
          <w:sz w:val="24"/>
          <w:szCs w:val="24"/>
        </w:rPr>
        <w:t>.</w:t>
      </w:r>
    </w:p>
    <w:p w14:paraId="780B65E5" w14:textId="3B15162D" w:rsidR="005469C9" w:rsidRPr="00EB70C1" w:rsidRDefault="005469C9" w:rsidP="00AC014B">
      <w:pPr>
        <w:spacing w:after="60"/>
        <w:rPr>
          <w:rFonts w:cstheme="minorHAnsi"/>
          <w:sz w:val="24"/>
        </w:rPr>
      </w:pPr>
      <w:r w:rsidRPr="005469C9">
        <w:rPr>
          <w:rFonts w:cstheme="minorHAnsi"/>
          <w:b/>
          <w:bCs/>
          <w:sz w:val="24"/>
        </w:rPr>
        <w:t>Figure 17. Percent of Acute Ischemic Stroke Patients Receiving Intravenous Tissue Plasminogen Activator (</w:t>
      </w:r>
      <w:proofErr w:type="spellStart"/>
      <w:r w:rsidRPr="005469C9">
        <w:rPr>
          <w:rFonts w:cstheme="minorHAnsi"/>
          <w:b/>
          <w:bCs/>
          <w:sz w:val="24"/>
        </w:rPr>
        <w:t>tPA</w:t>
      </w:r>
      <w:proofErr w:type="spellEnd"/>
      <w:r w:rsidRPr="005469C9">
        <w:rPr>
          <w:rFonts w:cstheme="minorHAnsi"/>
          <w:b/>
          <w:bCs/>
          <w:sz w:val="24"/>
        </w:rPr>
        <w:t>) Therapy With 60 Minutes or Less of Door-to-Needle Time, 201</w:t>
      </w:r>
      <w:r w:rsidR="00EF038F">
        <w:rPr>
          <w:rFonts w:cstheme="minorHAnsi"/>
          <w:b/>
          <w:bCs/>
          <w:sz w:val="24"/>
        </w:rPr>
        <w:t>4</w:t>
      </w:r>
      <w:r w:rsidRPr="005469C9">
        <w:rPr>
          <w:rFonts w:cstheme="minorHAnsi"/>
          <w:b/>
          <w:bCs/>
          <w:sz w:val="24"/>
        </w:rPr>
        <w:t>-201</w:t>
      </w:r>
      <w:r w:rsidR="00EF038F">
        <w:rPr>
          <w:rFonts w:cstheme="minorHAnsi"/>
          <w:b/>
          <w:bCs/>
          <w:sz w:val="24"/>
        </w:rPr>
        <w:t>9</w:t>
      </w:r>
    </w:p>
    <w:p w14:paraId="0ACD2916" w14:textId="28212AB2" w:rsidR="00A16632" w:rsidRPr="00EB70C1" w:rsidRDefault="005069DE" w:rsidP="00792B88">
      <w:pPr>
        <w:spacing w:after="0"/>
        <w:jc w:val="both"/>
        <w:rPr>
          <w:rFonts w:cstheme="minorHAnsi"/>
        </w:rPr>
      </w:pPr>
      <w:r>
        <w:rPr>
          <w:noProof/>
        </w:rPr>
        <w:drawing>
          <wp:inline distT="0" distB="0" distL="0" distR="0" wp14:anchorId="2DC73B14" wp14:editId="39E99D6C">
            <wp:extent cx="6566535" cy="1645920"/>
            <wp:effectExtent l="0" t="0" r="5715" b="11430"/>
            <wp:docPr id="39" name="Chart 39">
              <a:extLst xmlns:a="http://schemas.openxmlformats.org/drawingml/2006/main">
                <a:ext uri="{FF2B5EF4-FFF2-40B4-BE49-F238E27FC236}">
                  <a16:creationId xmlns:a16="http://schemas.microsoft.com/office/drawing/2014/main" id="{9BBC03F9-293E-4F62-82C0-98C7AC3D41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447720B" w14:textId="780A2DBD" w:rsidR="00472D4F" w:rsidRDefault="00472D4F" w:rsidP="00792B88">
      <w:pPr>
        <w:spacing w:before="60" w:after="0"/>
        <w:rPr>
          <w:rFonts w:cstheme="minorHAnsi"/>
          <w:sz w:val="16"/>
          <w:szCs w:val="16"/>
        </w:rPr>
      </w:pPr>
      <w:r w:rsidRPr="00044541">
        <w:rPr>
          <w:rFonts w:cstheme="minorHAnsi"/>
          <w:b/>
          <w:bCs/>
          <w:sz w:val="16"/>
          <w:szCs w:val="16"/>
        </w:rPr>
        <w:t xml:space="preserve">Source: </w:t>
      </w:r>
      <w:r>
        <w:rPr>
          <w:rFonts w:cstheme="minorHAnsi"/>
          <w:sz w:val="16"/>
          <w:szCs w:val="16"/>
        </w:rPr>
        <w:t xml:space="preserve">American Stroke Association. </w:t>
      </w:r>
      <w:r w:rsidRPr="008E6FA8">
        <w:rPr>
          <w:rFonts w:cstheme="minorHAnsi"/>
          <w:i/>
          <w:iCs/>
          <w:sz w:val="16"/>
          <w:szCs w:val="16"/>
        </w:rPr>
        <w:t xml:space="preserve">Get </w:t>
      </w:r>
      <w:proofErr w:type="gramStart"/>
      <w:r w:rsidRPr="008E6FA8">
        <w:rPr>
          <w:rFonts w:cstheme="minorHAnsi"/>
          <w:i/>
          <w:iCs/>
          <w:sz w:val="16"/>
          <w:szCs w:val="16"/>
        </w:rPr>
        <w:t>With</w:t>
      </w:r>
      <w:proofErr w:type="gramEnd"/>
      <w:r w:rsidRPr="008E6FA8">
        <w:rPr>
          <w:rFonts w:cstheme="minorHAnsi"/>
          <w:i/>
          <w:iCs/>
          <w:sz w:val="16"/>
          <w:szCs w:val="16"/>
        </w:rPr>
        <w:t xml:space="preserve"> The Guidelines</w:t>
      </w:r>
      <w:r>
        <w:rPr>
          <w:rFonts w:cstheme="minorHAnsi"/>
          <w:i/>
          <w:iCs/>
          <w:sz w:val="16"/>
          <w:szCs w:val="16"/>
        </w:rPr>
        <w:t xml:space="preserve"> - Stroke</w:t>
      </w:r>
      <w:r w:rsidRPr="008E6FA8">
        <w:rPr>
          <w:rFonts w:cstheme="minorHAnsi"/>
          <w:i/>
          <w:iCs/>
          <w:sz w:val="16"/>
          <w:szCs w:val="16"/>
        </w:rPr>
        <w:t xml:space="preserve"> Data</w:t>
      </w:r>
      <w:r>
        <w:rPr>
          <w:rFonts w:cstheme="minorHAnsi"/>
          <w:i/>
          <w:iCs/>
          <w:sz w:val="16"/>
          <w:szCs w:val="16"/>
        </w:rPr>
        <w:t xml:space="preserve"> Registry</w:t>
      </w:r>
      <w:r w:rsidRPr="008E6FA8">
        <w:rPr>
          <w:rFonts w:cstheme="minorHAnsi"/>
          <w:i/>
          <w:iCs/>
          <w:sz w:val="16"/>
          <w:szCs w:val="16"/>
        </w:rPr>
        <w:t xml:space="preserve"> System</w:t>
      </w:r>
      <w:r>
        <w:rPr>
          <w:rFonts w:cstheme="minorHAnsi"/>
          <w:sz w:val="16"/>
          <w:szCs w:val="16"/>
        </w:rPr>
        <w:t xml:space="preserve">. </w:t>
      </w:r>
      <w:r w:rsidRPr="00044541">
        <w:rPr>
          <w:rFonts w:cstheme="minorHAnsi"/>
          <w:sz w:val="16"/>
          <w:szCs w:val="16"/>
        </w:rPr>
        <w:t xml:space="preserve">Atlanta, Georgia: U.S. Department of Health and Human Services, Centers for Disease Control and Prevention, </w:t>
      </w:r>
      <w:r w:rsidR="00DC2A6A">
        <w:rPr>
          <w:rFonts w:cstheme="minorHAnsi"/>
          <w:sz w:val="16"/>
          <w:szCs w:val="16"/>
        </w:rPr>
        <w:t xml:space="preserve">2014-2019. </w:t>
      </w:r>
    </w:p>
    <w:p w14:paraId="7BADE30A" w14:textId="6AAF8807" w:rsidR="008D61E1" w:rsidRPr="001D6A3E" w:rsidRDefault="008D61E1" w:rsidP="00811D88">
      <w:pPr>
        <w:spacing w:after="0" w:line="240" w:lineRule="auto"/>
        <w:rPr>
          <w:rFonts w:eastAsiaTheme="majorEastAsia" w:cstheme="minorHAnsi"/>
          <w:b/>
          <w:noProof/>
          <w:sz w:val="20"/>
          <w:szCs w:val="20"/>
        </w:rPr>
      </w:pPr>
    </w:p>
    <w:p w14:paraId="7157AB3E" w14:textId="275EB909" w:rsidR="00B64051" w:rsidRPr="006F3331" w:rsidRDefault="00B64051">
      <w:pPr>
        <w:pStyle w:val="HeadingOPHIE"/>
        <w:spacing w:before="0" w:after="0"/>
        <w:rPr>
          <w:rFonts w:asciiTheme="minorHAnsi" w:hAnsiTheme="minorHAnsi" w:cstheme="minorHAnsi"/>
          <w:bCs/>
          <w:sz w:val="72"/>
          <w:szCs w:val="24"/>
        </w:rPr>
      </w:pPr>
      <w:r w:rsidRPr="006F3331">
        <w:rPr>
          <w:rFonts w:asciiTheme="minorHAnsi" w:hAnsiTheme="minorHAnsi" w:cstheme="minorHAnsi"/>
          <w:bCs/>
          <w:color w:val="auto"/>
          <w:sz w:val="36"/>
          <w:szCs w:val="36"/>
        </w:rPr>
        <w:t>Pre-Hospital Mode of Transpo</w:t>
      </w:r>
      <w:r w:rsidR="00D60DE8" w:rsidRPr="006F3331">
        <w:rPr>
          <w:rFonts w:asciiTheme="minorHAnsi" w:hAnsiTheme="minorHAnsi" w:cstheme="minorHAnsi"/>
          <w:bCs/>
          <w:color w:val="auto"/>
          <w:sz w:val="36"/>
          <w:szCs w:val="36"/>
        </w:rPr>
        <w:t>rt</w:t>
      </w:r>
      <w:r w:rsidRPr="006F3331">
        <w:rPr>
          <w:rFonts w:asciiTheme="minorHAnsi" w:hAnsiTheme="minorHAnsi" w:cstheme="minorHAnsi"/>
          <w:bCs/>
          <w:color w:val="auto"/>
          <w:sz w:val="36"/>
          <w:szCs w:val="36"/>
        </w:rPr>
        <w:t xml:space="preserve"> </w:t>
      </w:r>
    </w:p>
    <w:p w14:paraId="0B8E8AB3" w14:textId="250964BC" w:rsidR="00AD681F" w:rsidRPr="00B96DFA" w:rsidRDefault="00AD681F" w:rsidP="00B96DFA">
      <w:pPr>
        <w:pStyle w:val="TextOPHIE"/>
        <w:spacing w:line="276" w:lineRule="auto"/>
        <w:jc w:val="both"/>
        <w:rPr>
          <w:rFonts w:asciiTheme="minorHAnsi" w:hAnsiTheme="minorHAnsi" w:cstheme="minorHAnsi"/>
          <w:sz w:val="24"/>
          <w:szCs w:val="24"/>
        </w:rPr>
      </w:pPr>
      <w:r w:rsidRPr="00B96DFA">
        <w:rPr>
          <w:rFonts w:asciiTheme="minorHAnsi" w:hAnsiTheme="minorHAnsi" w:cstheme="minorHAnsi"/>
          <w:b/>
          <w:sz w:val="24"/>
          <w:szCs w:val="24"/>
        </w:rPr>
        <w:t xml:space="preserve">Notification and Response of </w:t>
      </w:r>
      <w:r w:rsidR="00745087" w:rsidRPr="00B96DFA">
        <w:rPr>
          <w:rFonts w:asciiTheme="minorHAnsi" w:hAnsiTheme="minorHAnsi" w:cstheme="minorHAnsi"/>
          <w:b/>
          <w:sz w:val="24"/>
          <w:szCs w:val="24"/>
        </w:rPr>
        <w:t>EMS</w:t>
      </w:r>
      <w:r w:rsidRPr="00B96DFA">
        <w:rPr>
          <w:rFonts w:asciiTheme="minorHAnsi" w:hAnsiTheme="minorHAnsi" w:cstheme="minorHAnsi"/>
          <w:b/>
          <w:sz w:val="24"/>
          <w:szCs w:val="24"/>
        </w:rPr>
        <w:t xml:space="preserve"> for Stroke</w:t>
      </w:r>
    </w:p>
    <w:p w14:paraId="5E0ED6AC" w14:textId="77777777" w:rsidR="00B96DFA" w:rsidRPr="00B96DFA" w:rsidRDefault="00B96DFA" w:rsidP="00B96DFA">
      <w:pPr>
        <w:pStyle w:val="TextOPHIE"/>
        <w:spacing w:line="276" w:lineRule="auto"/>
        <w:jc w:val="both"/>
        <w:rPr>
          <w:rFonts w:asciiTheme="minorHAnsi" w:hAnsiTheme="minorHAnsi" w:cstheme="minorHAnsi"/>
          <w:sz w:val="24"/>
          <w:szCs w:val="24"/>
        </w:rPr>
      </w:pPr>
      <w:r w:rsidRPr="00B96DFA">
        <w:rPr>
          <w:rFonts w:asciiTheme="minorHAnsi" w:hAnsiTheme="minorHAnsi" w:cstheme="minorHAnsi"/>
          <w:sz w:val="24"/>
          <w:szCs w:val="24"/>
        </w:rPr>
        <w:t>The notification and response of EMS to a stroke patient involves a complex interaction between the public, the applicable EMS program, and the relevant hospital emergency department. The CDC recommends hospitals develop partnerships with local EMS providers and educate communities about the symptoms of stroke and the importance of dialing 9-1-1 for timely treatment.</w:t>
      </w:r>
      <w:r w:rsidRPr="00B96DFA">
        <w:rPr>
          <w:rFonts w:asciiTheme="minorHAnsi" w:hAnsiTheme="minorHAnsi"/>
          <w:sz w:val="24"/>
          <w:szCs w:val="24"/>
          <w:vertAlign w:val="superscript"/>
        </w:rPr>
        <w:t>..</w:t>
      </w:r>
      <w:r w:rsidRPr="00B96DFA">
        <w:rPr>
          <w:rFonts w:asciiTheme="minorHAnsi" w:hAnsiTheme="minorHAnsi" w:cstheme="minorHAnsi"/>
          <w:sz w:val="24"/>
          <w:szCs w:val="24"/>
        </w:rPr>
        <w:t xml:space="preserve"> It is important for EMS and emergency dispatch operators to be trained in symptoms of a stroke to assist in getting the patient to the nearest hospital to provide IV t-PA treatment within the three-hour window from symptom onset. </w:t>
      </w:r>
    </w:p>
    <w:p w14:paraId="7A4E7D7E" w14:textId="77777777" w:rsidR="00B96DFA" w:rsidRPr="00B96DFA" w:rsidRDefault="00B96DFA" w:rsidP="00B96DFA">
      <w:pPr>
        <w:pStyle w:val="TextOPHIE"/>
        <w:spacing w:line="276" w:lineRule="auto"/>
        <w:jc w:val="both"/>
        <w:rPr>
          <w:rFonts w:asciiTheme="minorHAnsi" w:hAnsiTheme="minorHAnsi" w:cstheme="minorHAnsi"/>
          <w:sz w:val="24"/>
          <w:szCs w:val="24"/>
        </w:rPr>
      </w:pPr>
    </w:p>
    <w:p w14:paraId="30313207" w14:textId="77777777" w:rsidR="00B96DFA" w:rsidRPr="00B96DFA" w:rsidRDefault="00B96DFA" w:rsidP="00B96DFA">
      <w:pPr>
        <w:spacing w:after="0"/>
        <w:jc w:val="both"/>
        <w:rPr>
          <w:rFonts w:cstheme="minorHAnsi"/>
          <w:b/>
          <w:bCs/>
          <w:sz w:val="24"/>
          <w:szCs w:val="24"/>
        </w:rPr>
      </w:pPr>
      <w:r w:rsidRPr="00B96DFA">
        <w:rPr>
          <w:rFonts w:cstheme="minorHAnsi"/>
          <w:sz w:val="24"/>
          <w:szCs w:val="24"/>
        </w:rPr>
        <w:t xml:space="preserve">Figure 18 demonstrates how stroke patients arrived at the hospital (arrival mode). Results indicate 48.4 percent of stroke patients involved hospital pre-notification by the EMS. This is a substantial improvement to increasing statewide pre-notification rates to maximize transitions along the stroke continuum of care.  </w:t>
      </w:r>
    </w:p>
    <w:p w14:paraId="1058A9FF" w14:textId="77777777" w:rsidR="00DB6DA8" w:rsidRPr="00B96DFA" w:rsidRDefault="00DB6DA8" w:rsidP="00B96DFA">
      <w:pPr>
        <w:spacing w:after="0"/>
        <w:jc w:val="both"/>
        <w:rPr>
          <w:rFonts w:cstheme="minorHAnsi"/>
          <w:b/>
          <w:bCs/>
          <w:sz w:val="24"/>
          <w:szCs w:val="24"/>
        </w:rPr>
      </w:pPr>
    </w:p>
    <w:p w14:paraId="03886441" w14:textId="471B5D90" w:rsidR="00054D43" w:rsidRPr="008E6FA8" w:rsidRDefault="00054D43" w:rsidP="00B96DFA">
      <w:pPr>
        <w:spacing w:after="0"/>
        <w:rPr>
          <w:rFonts w:cstheme="minorHAnsi"/>
          <w:b/>
          <w:bCs/>
          <w:sz w:val="24"/>
        </w:rPr>
      </w:pPr>
      <w:r w:rsidRPr="008E6FA8">
        <w:rPr>
          <w:rFonts w:cstheme="minorHAnsi"/>
          <w:b/>
          <w:bCs/>
          <w:sz w:val="24"/>
        </w:rPr>
        <w:t>Figure 18: Arrival Mode, 2014 - 2019</w:t>
      </w:r>
    </w:p>
    <w:p w14:paraId="1B64895C" w14:textId="2F3BEFBF" w:rsidR="00AD681F" w:rsidRPr="00EB70C1" w:rsidRDefault="00246E0D" w:rsidP="00AC014B">
      <w:pPr>
        <w:pStyle w:val="TextOPHIE"/>
        <w:rPr>
          <w:rFonts w:asciiTheme="minorHAnsi" w:hAnsiTheme="minorHAnsi" w:cstheme="minorHAnsi"/>
        </w:rPr>
      </w:pPr>
      <w:r w:rsidRPr="008E6FA8">
        <w:rPr>
          <w:noProof/>
          <w:shd w:val="clear" w:color="auto" w:fill="9E480E"/>
        </w:rPr>
        <w:lastRenderedPageBreak/>
        <w:drawing>
          <wp:inline distT="0" distB="0" distL="0" distR="0" wp14:anchorId="1757A186" wp14:editId="3D59CD40">
            <wp:extent cx="6744970" cy="2004364"/>
            <wp:effectExtent l="0" t="0" r="17780" b="15240"/>
            <wp:docPr id="35" name="Chart 35">
              <a:extLst xmlns:a="http://schemas.openxmlformats.org/drawingml/2006/main">
                <a:ext uri="{FF2B5EF4-FFF2-40B4-BE49-F238E27FC236}">
                  <a16:creationId xmlns:a16="http://schemas.microsoft.com/office/drawing/2014/main" id="{211F78EF-71AE-40A6-8CE1-961FF1203D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FAF4B49" w14:textId="60E8D344" w:rsidR="000A092E" w:rsidRDefault="000A092E" w:rsidP="00AC014B">
      <w:pPr>
        <w:spacing w:before="60" w:after="0"/>
        <w:rPr>
          <w:rFonts w:cstheme="minorHAnsi"/>
          <w:sz w:val="16"/>
          <w:szCs w:val="16"/>
        </w:rPr>
      </w:pPr>
      <w:bookmarkStart w:id="13" w:name="_Hlk38634508"/>
      <w:r w:rsidRPr="00044541">
        <w:rPr>
          <w:rFonts w:cstheme="minorHAnsi"/>
          <w:b/>
          <w:bCs/>
          <w:sz w:val="16"/>
          <w:szCs w:val="16"/>
        </w:rPr>
        <w:t xml:space="preserve">Source: </w:t>
      </w:r>
      <w:r>
        <w:rPr>
          <w:rFonts w:cstheme="minorHAnsi"/>
          <w:sz w:val="16"/>
          <w:szCs w:val="16"/>
        </w:rPr>
        <w:t xml:space="preserve">American Stroke Association. </w:t>
      </w:r>
      <w:r w:rsidRPr="008E6FA8">
        <w:rPr>
          <w:rFonts w:cstheme="minorHAnsi"/>
          <w:i/>
          <w:iCs/>
          <w:sz w:val="16"/>
          <w:szCs w:val="16"/>
        </w:rPr>
        <w:t xml:space="preserve">Get </w:t>
      </w:r>
      <w:proofErr w:type="gramStart"/>
      <w:r w:rsidRPr="008E6FA8">
        <w:rPr>
          <w:rFonts w:cstheme="minorHAnsi"/>
          <w:i/>
          <w:iCs/>
          <w:sz w:val="16"/>
          <w:szCs w:val="16"/>
        </w:rPr>
        <w:t>With</w:t>
      </w:r>
      <w:proofErr w:type="gramEnd"/>
      <w:r w:rsidRPr="008E6FA8">
        <w:rPr>
          <w:rFonts w:cstheme="minorHAnsi"/>
          <w:i/>
          <w:iCs/>
          <w:sz w:val="16"/>
          <w:szCs w:val="16"/>
        </w:rPr>
        <w:t xml:space="preserve"> The Guidelines</w:t>
      </w:r>
      <w:r>
        <w:rPr>
          <w:rFonts w:cstheme="minorHAnsi"/>
          <w:i/>
          <w:iCs/>
          <w:sz w:val="16"/>
          <w:szCs w:val="16"/>
        </w:rPr>
        <w:t xml:space="preserve"> - Stroke</w:t>
      </w:r>
      <w:r w:rsidRPr="008E6FA8">
        <w:rPr>
          <w:rFonts w:cstheme="minorHAnsi"/>
          <w:i/>
          <w:iCs/>
          <w:sz w:val="16"/>
          <w:szCs w:val="16"/>
        </w:rPr>
        <w:t xml:space="preserve"> Data</w:t>
      </w:r>
      <w:r>
        <w:rPr>
          <w:rFonts w:cstheme="minorHAnsi"/>
          <w:i/>
          <w:iCs/>
          <w:sz w:val="16"/>
          <w:szCs w:val="16"/>
        </w:rPr>
        <w:t xml:space="preserve"> Registry</w:t>
      </w:r>
      <w:r w:rsidRPr="008E6FA8">
        <w:rPr>
          <w:rFonts w:cstheme="minorHAnsi"/>
          <w:i/>
          <w:iCs/>
          <w:sz w:val="16"/>
          <w:szCs w:val="16"/>
        </w:rPr>
        <w:t xml:space="preserve"> System</w:t>
      </w:r>
      <w:r>
        <w:rPr>
          <w:rFonts w:cstheme="minorHAnsi"/>
          <w:sz w:val="16"/>
          <w:szCs w:val="16"/>
        </w:rPr>
        <w:t xml:space="preserve">. </w:t>
      </w:r>
      <w:r w:rsidRPr="00044541">
        <w:rPr>
          <w:rFonts w:cstheme="minorHAnsi"/>
          <w:sz w:val="16"/>
          <w:szCs w:val="16"/>
        </w:rPr>
        <w:t xml:space="preserve">Atlanta, Georgia: U.S. Department of Health and Human Services, Centers for Disease Control and Prevention, </w:t>
      </w:r>
      <w:r w:rsidR="00C80E46">
        <w:rPr>
          <w:rFonts w:cstheme="minorHAnsi"/>
          <w:sz w:val="16"/>
          <w:szCs w:val="16"/>
        </w:rPr>
        <w:t>2014-</w:t>
      </w:r>
      <w:r w:rsidRPr="00044541">
        <w:rPr>
          <w:rFonts w:cstheme="minorHAnsi"/>
          <w:sz w:val="16"/>
          <w:szCs w:val="16"/>
        </w:rPr>
        <w:t>201</w:t>
      </w:r>
      <w:r w:rsidR="00970BA7">
        <w:rPr>
          <w:rFonts w:cstheme="minorHAnsi"/>
          <w:sz w:val="16"/>
          <w:szCs w:val="16"/>
        </w:rPr>
        <w:t>9</w:t>
      </w:r>
      <w:r w:rsidRPr="00044541">
        <w:rPr>
          <w:rFonts w:cstheme="minorHAnsi"/>
          <w:sz w:val="16"/>
          <w:szCs w:val="16"/>
        </w:rPr>
        <w:t>.</w:t>
      </w:r>
    </w:p>
    <w:p w14:paraId="29310C0C" w14:textId="20C7676C" w:rsidR="00472D4F" w:rsidRDefault="00472D4F" w:rsidP="001565B4">
      <w:pPr>
        <w:spacing w:after="0"/>
        <w:ind w:left="720"/>
        <w:rPr>
          <w:rFonts w:cstheme="minorHAnsi"/>
          <w:sz w:val="24"/>
          <w:szCs w:val="24"/>
        </w:rPr>
      </w:pPr>
    </w:p>
    <w:p w14:paraId="1CD76889" w14:textId="77777777" w:rsidR="00C22EB3" w:rsidRPr="00B96DFA" w:rsidRDefault="00C22EB3" w:rsidP="001565B4">
      <w:pPr>
        <w:spacing w:after="0"/>
        <w:ind w:left="720"/>
        <w:rPr>
          <w:rFonts w:cstheme="minorHAnsi"/>
          <w:sz w:val="24"/>
          <w:szCs w:val="24"/>
        </w:rPr>
      </w:pPr>
    </w:p>
    <w:bookmarkEnd w:id="13"/>
    <w:p w14:paraId="57A93F6D" w14:textId="449C6CBC" w:rsidR="00A3198B" w:rsidRPr="006F3331" w:rsidRDefault="00A3198B" w:rsidP="00514DD8">
      <w:pPr>
        <w:pStyle w:val="Heading1STD0"/>
        <w:spacing w:before="0" w:after="0" w:line="276" w:lineRule="auto"/>
        <w:rPr>
          <w:rFonts w:asciiTheme="minorHAnsi" w:hAnsiTheme="minorHAnsi" w:cstheme="minorHAnsi"/>
          <w:sz w:val="36"/>
          <w:szCs w:val="36"/>
        </w:rPr>
      </w:pPr>
      <w:r w:rsidRPr="007A5251">
        <w:rPr>
          <w:rFonts w:asciiTheme="minorHAnsi" w:hAnsiTheme="minorHAnsi" w:cstheme="minorHAnsi"/>
          <w:sz w:val="36"/>
          <w:szCs w:val="36"/>
        </w:rPr>
        <w:t>Recommendations</w:t>
      </w:r>
      <w:r w:rsidR="009B4369" w:rsidRPr="007A5251">
        <w:rPr>
          <w:rFonts w:asciiTheme="minorHAnsi" w:hAnsiTheme="minorHAnsi" w:cstheme="minorHAnsi"/>
          <w:sz w:val="36"/>
          <w:szCs w:val="36"/>
        </w:rPr>
        <w:t xml:space="preserve"> and Aggregated Data</w:t>
      </w:r>
      <w:r w:rsidR="002E3CF3" w:rsidRPr="007A5251">
        <w:rPr>
          <w:rFonts w:asciiTheme="minorHAnsi" w:hAnsiTheme="minorHAnsi" w:cstheme="minorHAnsi"/>
          <w:sz w:val="36"/>
          <w:szCs w:val="36"/>
        </w:rPr>
        <w:t xml:space="preserve"> </w:t>
      </w:r>
    </w:p>
    <w:p w14:paraId="397D2A02" w14:textId="657C3434" w:rsidR="00B60547" w:rsidRPr="00173985" w:rsidRDefault="00585F18" w:rsidP="00173985">
      <w:pPr>
        <w:spacing w:after="0"/>
        <w:jc w:val="both"/>
        <w:rPr>
          <w:rFonts w:cstheme="minorHAnsi"/>
          <w:sz w:val="24"/>
          <w:szCs w:val="24"/>
        </w:rPr>
      </w:pPr>
      <w:r w:rsidRPr="00173985">
        <w:rPr>
          <w:rFonts w:cstheme="minorHAnsi"/>
          <w:sz w:val="24"/>
          <w:szCs w:val="24"/>
        </w:rPr>
        <w:t>CDPHP</w:t>
      </w:r>
      <w:r w:rsidR="00AD58DE" w:rsidRPr="00173985">
        <w:rPr>
          <w:rFonts w:cstheme="minorHAnsi"/>
          <w:sz w:val="24"/>
          <w:szCs w:val="24"/>
        </w:rPr>
        <w:t xml:space="preserve"> developed</w:t>
      </w:r>
      <w:r w:rsidR="00B60547" w:rsidRPr="00173985">
        <w:rPr>
          <w:rFonts w:cstheme="minorHAnsi"/>
          <w:sz w:val="24"/>
          <w:szCs w:val="24"/>
        </w:rPr>
        <w:t xml:space="preserve"> recommendations</w:t>
      </w:r>
      <w:r w:rsidR="00AD58DE" w:rsidRPr="00173985">
        <w:rPr>
          <w:rFonts w:cstheme="minorHAnsi"/>
          <w:sz w:val="24"/>
          <w:szCs w:val="24"/>
        </w:rPr>
        <w:t xml:space="preserve"> for improving outcomes</w:t>
      </w:r>
      <w:r w:rsidR="00B60547" w:rsidRPr="00173985">
        <w:rPr>
          <w:rFonts w:cstheme="minorHAnsi"/>
          <w:sz w:val="24"/>
          <w:szCs w:val="24"/>
        </w:rPr>
        <w:t xml:space="preserve"> based on 201</w:t>
      </w:r>
      <w:r w:rsidR="002E3CF3" w:rsidRPr="00173985">
        <w:rPr>
          <w:rFonts w:cstheme="minorHAnsi"/>
          <w:sz w:val="24"/>
          <w:szCs w:val="24"/>
        </w:rPr>
        <w:t xml:space="preserve">9 </w:t>
      </w:r>
      <w:r w:rsidR="00B60547" w:rsidRPr="00173985">
        <w:rPr>
          <w:rFonts w:cstheme="minorHAnsi"/>
          <w:sz w:val="24"/>
          <w:szCs w:val="24"/>
        </w:rPr>
        <w:t>aggregate Nevada Stroke Registry data:</w:t>
      </w:r>
    </w:p>
    <w:p w14:paraId="11C16858" w14:textId="41408809" w:rsidR="00B60547" w:rsidRPr="00173985" w:rsidRDefault="008B13E0" w:rsidP="00173985">
      <w:pPr>
        <w:pStyle w:val="ListParagraph"/>
        <w:numPr>
          <w:ilvl w:val="0"/>
          <w:numId w:val="5"/>
        </w:numPr>
        <w:spacing w:after="0"/>
        <w:jc w:val="both"/>
        <w:rPr>
          <w:rFonts w:cstheme="minorHAnsi"/>
          <w:sz w:val="24"/>
          <w:szCs w:val="24"/>
        </w:rPr>
      </w:pPr>
      <w:r w:rsidRPr="00173985">
        <w:rPr>
          <w:rFonts w:cstheme="minorHAnsi"/>
          <w:sz w:val="24"/>
          <w:szCs w:val="24"/>
        </w:rPr>
        <w:t>Currently</w:t>
      </w:r>
      <w:r w:rsidR="00AD58DE" w:rsidRPr="00173985">
        <w:rPr>
          <w:rFonts w:cstheme="minorHAnsi"/>
          <w:sz w:val="24"/>
          <w:szCs w:val="24"/>
        </w:rPr>
        <w:t>,</w:t>
      </w:r>
      <w:r w:rsidRPr="00173985">
        <w:rPr>
          <w:rFonts w:cstheme="minorHAnsi"/>
          <w:sz w:val="24"/>
          <w:szCs w:val="24"/>
        </w:rPr>
        <w:t xml:space="preserve"> 1</w:t>
      </w:r>
      <w:r w:rsidR="00BF4510" w:rsidRPr="00173985">
        <w:rPr>
          <w:rFonts w:cstheme="minorHAnsi"/>
          <w:sz w:val="24"/>
          <w:szCs w:val="24"/>
        </w:rPr>
        <w:t>5</w:t>
      </w:r>
      <w:r w:rsidR="00B60547" w:rsidRPr="00173985">
        <w:rPr>
          <w:rFonts w:cstheme="minorHAnsi"/>
          <w:sz w:val="24"/>
          <w:szCs w:val="24"/>
        </w:rPr>
        <w:t xml:space="preserve"> facilities have completed and returned </w:t>
      </w:r>
      <w:r w:rsidR="00AD58DE" w:rsidRPr="00173985">
        <w:rPr>
          <w:rFonts w:cstheme="minorHAnsi"/>
          <w:sz w:val="24"/>
          <w:szCs w:val="24"/>
        </w:rPr>
        <w:t>a</w:t>
      </w:r>
      <w:r w:rsidR="00B60547" w:rsidRPr="00173985">
        <w:rPr>
          <w:rFonts w:cstheme="minorHAnsi"/>
          <w:sz w:val="24"/>
          <w:szCs w:val="24"/>
        </w:rPr>
        <w:t xml:space="preserve"> Memorandum of Agreement (MO</w:t>
      </w:r>
      <w:r w:rsidR="0001395D" w:rsidRPr="00173985">
        <w:rPr>
          <w:rFonts w:cstheme="minorHAnsi"/>
          <w:sz w:val="24"/>
          <w:szCs w:val="24"/>
        </w:rPr>
        <w:t>A</w:t>
      </w:r>
      <w:r w:rsidR="00B60547" w:rsidRPr="00173985">
        <w:rPr>
          <w:rFonts w:cstheme="minorHAnsi"/>
          <w:sz w:val="24"/>
          <w:szCs w:val="24"/>
        </w:rPr>
        <w:t>) for data sharing/super-user allowance to Quintiles (</w:t>
      </w:r>
      <w:r w:rsidR="006A2452" w:rsidRPr="00173985">
        <w:rPr>
          <w:rFonts w:cstheme="minorHAnsi"/>
          <w:sz w:val="24"/>
          <w:szCs w:val="24"/>
        </w:rPr>
        <w:t xml:space="preserve">GWTG </w:t>
      </w:r>
      <w:r w:rsidR="00B60547" w:rsidRPr="00173985">
        <w:rPr>
          <w:rFonts w:cstheme="minorHAnsi"/>
          <w:sz w:val="24"/>
          <w:szCs w:val="24"/>
        </w:rPr>
        <w:t xml:space="preserve">vendor). </w:t>
      </w:r>
    </w:p>
    <w:p w14:paraId="2DB4B16F" w14:textId="32FF9088" w:rsidR="006A2452" w:rsidRPr="00173985" w:rsidRDefault="00B60547" w:rsidP="00173985">
      <w:pPr>
        <w:pStyle w:val="ListParagraph"/>
        <w:numPr>
          <w:ilvl w:val="2"/>
          <w:numId w:val="5"/>
        </w:numPr>
        <w:spacing w:after="0"/>
        <w:ind w:left="1440"/>
        <w:jc w:val="both"/>
        <w:rPr>
          <w:rFonts w:cstheme="minorHAnsi"/>
          <w:b/>
          <w:sz w:val="24"/>
          <w:szCs w:val="24"/>
        </w:rPr>
      </w:pPr>
      <w:r w:rsidRPr="00173985">
        <w:rPr>
          <w:rFonts w:cstheme="minorHAnsi"/>
          <w:b/>
          <w:sz w:val="24"/>
          <w:szCs w:val="24"/>
        </w:rPr>
        <w:t xml:space="preserve">Quality Improvement (QI) recommendation: Increase </w:t>
      </w:r>
      <w:r w:rsidR="0001395D" w:rsidRPr="00173985">
        <w:rPr>
          <w:rFonts w:cstheme="minorHAnsi"/>
          <w:b/>
          <w:sz w:val="24"/>
          <w:szCs w:val="24"/>
        </w:rPr>
        <w:t xml:space="preserve">the number of </w:t>
      </w:r>
      <w:r w:rsidRPr="00173985">
        <w:rPr>
          <w:rFonts w:cstheme="minorHAnsi"/>
          <w:b/>
          <w:sz w:val="24"/>
          <w:szCs w:val="24"/>
        </w:rPr>
        <w:t>MO</w:t>
      </w:r>
      <w:r w:rsidR="0001395D" w:rsidRPr="00173985">
        <w:rPr>
          <w:rFonts w:cstheme="minorHAnsi"/>
          <w:b/>
          <w:sz w:val="24"/>
          <w:szCs w:val="24"/>
        </w:rPr>
        <w:t>As</w:t>
      </w:r>
      <w:r w:rsidR="007102CD" w:rsidRPr="00173985">
        <w:rPr>
          <w:rFonts w:cstheme="minorHAnsi"/>
          <w:b/>
          <w:sz w:val="24"/>
          <w:szCs w:val="24"/>
        </w:rPr>
        <w:t xml:space="preserve"> returned to DPBH to</w:t>
      </w:r>
      <w:r w:rsidR="00472E27" w:rsidRPr="00173985">
        <w:rPr>
          <w:rFonts w:cstheme="minorHAnsi"/>
          <w:b/>
          <w:sz w:val="24"/>
          <w:szCs w:val="24"/>
        </w:rPr>
        <w:t xml:space="preserve"> </w:t>
      </w:r>
      <w:r w:rsidR="0001395D" w:rsidRPr="00173985">
        <w:rPr>
          <w:rFonts w:cstheme="minorHAnsi"/>
          <w:b/>
          <w:sz w:val="24"/>
          <w:szCs w:val="24"/>
        </w:rPr>
        <w:t xml:space="preserve">include </w:t>
      </w:r>
      <w:r w:rsidR="00472E27" w:rsidRPr="00173985">
        <w:rPr>
          <w:rFonts w:cstheme="minorHAnsi"/>
          <w:b/>
          <w:sz w:val="24"/>
          <w:szCs w:val="24"/>
        </w:rPr>
        <w:t>all 1</w:t>
      </w:r>
      <w:r w:rsidR="00173985" w:rsidRPr="00173985">
        <w:rPr>
          <w:rFonts w:cstheme="minorHAnsi"/>
          <w:b/>
          <w:sz w:val="24"/>
          <w:szCs w:val="24"/>
        </w:rPr>
        <w:t>5</w:t>
      </w:r>
      <w:r w:rsidRPr="00173985">
        <w:rPr>
          <w:rFonts w:cstheme="minorHAnsi"/>
          <w:b/>
          <w:sz w:val="24"/>
          <w:szCs w:val="24"/>
        </w:rPr>
        <w:t xml:space="preserve"> primary care stroke facilities in</w:t>
      </w:r>
      <w:r w:rsidR="00472E27" w:rsidRPr="00173985">
        <w:rPr>
          <w:rFonts w:cstheme="minorHAnsi"/>
          <w:b/>
          <w:sz w:val="24"/>
          <w:szCs w:val="24"/>
        </w:rPr>
        <w:t xml:space="preserve"> Nevada to enable viewing all </w:t>
      </w:r>
      <w:r w:rsidRPr="00173985">
        <w:rPr>
          <w:rFonts w:cstheme="minorHAnsi"/>
          <w:b/>
          <w:sz w:val="24"/>
          <w:szCs w:val="24"/>
        </w:rPr>
        <w:t>hospitals</w:t>
      </w:r>
      <w:r w:rsidR="00EF5EB2" w:rsidRPr="00173985">
        <w:rPr>
          <w:rFonts w:cstheme="minorHAnsi"/>
          <w:b/>
          <w:sz w:val="24"/>
          <w:szCs w:val="24"/>
        </w:rPr>
        <w:t>’</w:t>
      </w:r>
      <w:r w:rsidRPr="00173985">
        <w:rPr>
          <w:rFonts w:cstheme="minorHAnsi"/>
          <w:b/>
          <w:sz w:val="24"/>
          <w:szCs w:val="24"/>
        </w:rPr>
        <w:t xml:space="preserve"> individual data</w:t>
      </w:r>
      <w:r w:rsidR="00501FA6" w:rsidRPr="00173985">
        <w:rPr>
          <w:rFonts w:cstheme="minorHAnsi"/>
          <w:b/>
          <w:sz w:val="24"/>
          <w:szCs w:val="24"/>
        </w:rPr>
        <w:t xml:space="preserve"> to identify successful quality performance</w:t>
      </w:r>
      <w:r w:rsidR="006A2452" w:rsidRPr="00173985">
        <w:rPr>
          <w:rFonts w:cstheme="minorHAnsi"/>
          <w:b/>
          <w:sz w:val="24"/>
          <w:szCs w:val="24"/>
        </w:rPr>
        <w:t xml:space="preserve"> measures</w:t>
      </w:r>
      <w:r w:rsidRPr="00173985">
        <w:rPr>
          <w:rFonts w:cstheme="minorHAnsi"/>
          <w:b/>
          <w:sz w:val="24"/>
          <w:szCs w:val="24"/>
        </w:rPr>
        <w:t>.</w:t>
      </w:r>
      <w:r w:rsidR="006A2452" w:rsidRPr="00173985">
        <w:rPr>
          <w:rFonts w:cstheme="minorHAnsi"/>
          <w:b/>
          <w:sz w:val="24"/>
          <w:szCs w:val="24"/>
        </w:rPr>
        <w:t xml:space="preserve"> </w:t>
      </w:r>
    </w:p>
    <w:p w14:paraId="1F3E760D" w14:textId="43CC159A" w:rsidR="00B60547" w:rsidRPr="00173985" w:rsidRDefault="00B60547" w:rsidP="00173985">
      <w:pPr>
        <w:pStyle w:val="ListParagraph"/>
        <w:numPr>
          <w:ilvl w:val="2"/>
          <w:numId w:val="5"/>
        </w:numPr>
        <w:spacing w:after="0"/>
        <w:ind w:left="1440"/>
        <w:jc w:val="both"/>
        <w:rPr>
          <w:rFonts w:cstheme="minorHAnsi"/>
          <w:b/>
          <w:sz w:val="24"/>
          <w:szCs w:val="24"/>
        </w:rPr>
      </w:pPr>
      <w:r w:rsidRPr="00173985">
        <w:rPr>
          <w:rFonts w:cstheme="minorHAnsi"/>
          <w:b/>
          <w:sz w:val="24"/>
          <w:szCs w:val="24"/>
        </w:rPr>
        <w:t>QI recommendation: Explore us</w:t>
      </w:r>
      <w:r w:rsidR="0001395D" w:rsidRPr="00173985">
        <w:rPr>
          <w:rFonts w:cstheme="minorHAnsi"/>
          <w:b/>
          <w:sz w:val="24"/>
          <w:szCs w:val="24"/>
        </w:rPr>
        <w:t>ing</w:t>
      </w:r>
      <w:r w:rsidRPr="00173985">
        <w:rPr>
          <w:rFonts w:cstheme="minorHAnsi"/>
          <w:b/>
          <w:sz w:val="24"/>
          <w:szCs w:val="24"/>
        </w:rPr>
        <w:t xml:space="preserve"> the Health Information Exchange to c</w:t>
      </w:r>
      <w:r w:rsidR="0084485C" w:rsidRPr="00173985">
        <w:rPr>
          <w:rFonts w:cstheme="minorHAnsi"/>
          <w:b/>
          <w:sz w:val="24"/>
          <w:szCs w:val="24"/>
        </w:rPr>
        <w:t xml:space="preserve">ollect data aligning with </w:t>
      </w:r>
      <w:r w:rsidR="006A2452" w:rsidRPr="00173985">
        <w:rPr>
          <w:rFonts w:cstheme="minorHAnsi"/>
          <w:b/>
          <w:sz w:val="24"/>
          <w:szCs w:val="24"/>
        </w:rPr>
        <w:t>the ten</w:t>
      </w:r>
      <w:r w:rsidR="00025AB2" w:rsidRPr="00173985">
        <w:rPr>
          <w:rFonts w:cstheme="minorHAnsi"/>
          <w:b/>
          <w:sz w:val="24"/>
          <w:szCs w:val="24"/>
        </w:rPr>
        <w:t xml:space="preserve"> </w:t>
      </w:r>
      <w:r w:rsidRPr="00173985">
        <w:rPr>
          <w:rFonts w:cstheme="minorHAnsi"/>
          <w:b/>
          <w:sz w:val="24"/>
          <w:szCs w:val="24"/>
        </w:rPr>
        <w:t xml:space="preserve">GWTG </w:t>
      </w:r>
      <w:r w:rsidR="00794CEF" w:rsidRPr="00173985">
        <w:rPr>
          <w:rFonts w:cstheme="minorHAnsi"/>
          <w:b/>
          <w:sz w:val="24"/>
          <w:szCs w:val="24"/>
        </w:rPr>
        <w:t>quality improvement measures</w:t>
      </w:r>
      <w:r w:rsidR="00E706E2" w:rsidRPr="00173985">
        <w:rPr>
          <w:rFonts w:cstheme="minorHAnsi"/>
          <w:b/>
          <w:sz w:val="24"/>
          <w:szCs w:val="24"/>
        </w:rPr>
        <w:t xml:space="preserve"> to include Critical Access H</w:t>
      </w:r>
      <w:r w:rsidRPr="00173985">
        <w:rPr>
          <w:rFonts w:cstheme="minorHAnsi"/>
          <w:b/>
          <w:sz w:val="24"/>
          <w:szCs w:val="24"/>
        </w:rPr>
        <w:t>ospitals and cross</w:t>
      </w:r>
      <w:r w:rsidR="0001395D" w:rsidRPr="00173985">
        <w:rPr>
          <w:rFonts w:cstheme="minorHAnsi"/>
          <w:b/>
          <w:sz w:val="24"/>
          <w:szCs w:val="24"/>
        </w:rPr>
        <w:t>-</w:t>
      </w:r>
      <w:r w:rsidRPr="00173985">
        <w:rPr>
          <w:rFonts w:cstheme="minorHAnsi"/>
          <w:b/>
          <w:sz w:val="24"/>
          <w:szCs w:val="24"/>
        </w:rPr>
        <w:t xml:space="preserve">walking with GWTG data to </w:t>
      </w:r>
      <w:r w:rsidR="0001395D" w:rsidRPr="00173985">
        <w:rPr>
          <w:rFonts w:cstheme="minorHAnsi"/>
          <w:b/>
          <w:sz w:val="24"/>
          <w:szCs w:val="24"/>
        </w:rPr>
        <w:t>develop</w:t>
      </w:r>
      <w:r w:rsidRPr="00173985">
        <w:rPr>
          <w:rFonts w:cstheme="minorHAnsi"/>
          <w:b/>
          <w:sz w:val="24"/>
          <w:szCs w:val="24"/>
        </w:rPr>
        <w:t xml:space="preserve"> a comprehensive geographic representation of stroke in Nevada.</w:t>
      </w:r>
    </w:p>
    <w:p w14:paraId="608F7686" w14:textId="7041B53F" w:rsidR="00B60547" w:rsidRPr="00173985" w:rsidRDefault="00B60547" w:rsidP="00173985">
      <w:pPr>
        <w:pStyle w:val="ListParagraph"/>
        <w:numPr>
          <w:ilvl w:val="0"/>
          <w:numId w:val="5"/>
        </w:numPr>
        <w:spacing w:after="0"/>
        <w:rPr>
          <w:rFonts w:cstheme="minorHAnsi"/>
          <w:sz w:val="24"/>
          <w:szCs w:val="24"/>
        </w:rPr>
      </w:pPr>
      <w:r w:rsidRPr="00173985">
        <w:rPr>
          <w:rFonts w:cstheme="minorHAnsi"/>
          <w:sz w:val="24"/>
          <w:szCs w:val="24"/>
        </w:rPr>
        <w:t xml:space="preserve">Use aggregate data to address </w:t>
      </w:r>
      <w:r w:rsidR="006A2452" w:rsidRPr="00173985">
        <w:rPr>
          <w:rFonts w:cstheme="minorHAnsi"/>
          <w:sz w:val="24"/>
          <w:szCs w:val="24"/>
        </w:rPr>
        <w:t>stroke</w:t>
      </w:r>
      <w:r w:rsidRPr="00173985">
        <w:rPr>
          <w:rFonts w:cstheme="minorHAnsi"/>
          <w:sz w:val="24"/>
          <w:szCs w:val="24"/>
        </w:rPr>
        <w:t xml:space="preserve"> disparities</w:t>
      </w:r>
      <w:r w:rsidR="0001395D" w:rsidRPr="00173985">
        <w:rPr>
          <w:rFonts w:cstheme="minorHAnsi"/>
          <w:sz w:val="24"/>
          <w:szCs w:val="24"/>
        </w:rPr>
        <w:t xml:space="preserve"> </w:t>
      </w:r>
      <w:r w:rsidRPr="00173985">
        <w:rPr>
          <w:rFonts w:cstheme="minorHAnsi"/>
          <w:sz w:val="24"/>
          <w:szCs w:val="24"/>
        </w:rPr>
        <w:t xml:space="preserve">by </w:t>
      </w:r>
      <w:r w:rsidR="006A2452" w:rsidRPr="00173985">
        <w:rPr>
          <w:rFonts w:cstheme="minorHAnsi"/>
          <w:sz w:val="24"/>
          <w:szCs w:val="24"/>
        </w:rPr>
        <w:t>race/</w:t>
      </w:r>
      <w:r w:rsidRPr="00173985">
        <w:rPr>
          <w:rFonts w:cstheme="minorHAnsi"/>
          <w:sz w:val="24"/>
          <w:szCs w:val="24"/>
        </w:rPr>
        <w:t>ethnicity</w:t>
      </w:r>
      <w:r w:rsidR="006A2452" w:rsidRPr="00173985">
        <w:rPr>
          <w:rFonts w:cstheme="minorHAnsi"/>
          <w:sz w:val="24"/>
          <w:szCs w:val="24"/>
        </w:rPr>
        <w:t xml:space="preserve"> and</w:t>
      </w:r>
      <w:r w:rsidRPr="00173985">
        <w:rPr>
          <w:rFonts w:cstheme="minorHAnsi"/>
          <w:sz w:val="24"/>
          <w:szCs w:val="24"/>
        </w:rPr>
        <w:t xml:space="preserve"> gende</w:t>
      </w:r>
      <w:r w:rsidR="00DE3BCD" w:rsidRPr="00173985">
        <w:rPr>
          <w:rFonts w:cstheme="minorHAnsi"/>
          <w:sz w:val="24"/>
          <w:szCs w:val="24"/>
        </w:rPr>
        <w:t>r</w:t>
      </w:r>
      <w:r w:rsidRPr="00173985">
        <w:rPr>
          <w:rFonts w:cstheme="minorHAnsi"/>
          <w:sz w:val="24"/>
          <w:szCs w:val="24"/>
        </w:rPr>
        <w:t>.</w:t>
      </w:r>
    </w:p>
    <w:p w14:paraId="7AC2CDF0" w14:textId="2191ACFE" w:rsidR="00B60547" w:rsidRPr="00173985" w:rsidRDefault="00B60547" w:rsidP="00173985">
      <w:pPr>
        <w:pStyle w:val="ListParagraph"/>
        <w:numPr>
          <w:ilvl w:val="2"/>
          <w:numId w:val="5"/>
        </w:numPr>
        <w:spacing w:after="0"/>
        <w:ind w:left="1440"/>
        <w:jc w:val="both"/>
        <w:rPr>
          <w:rFonts w:cstheme="minorHAnsi"/>
          <w:b/>
          <w:sz w:val="24"/>
          <w:szCs w:val="24"/>
        </w:rPr>
      </w:pPr>
      <w:r w:rsidRPr="00173985">
        <w:rPr>
          <w:rFonts w:cstheme="minorHAnsi"/>
          <w:b/>
          <w:sz w:val="24"/>
          <w:szCs w:val="24"/>
        </w:rPr>
        <w:t xml:space="preserve">QI recommendation: Health disparities are evident in Nevada in relation to stroke prevalence and chronic disease mortality by race and ethnicity. </w:t>
      </w:r>
      <w:r w:rsidR="0036212F" w:rsidRPr="00173985">
        <w:rPr>
          <w:rFonts w:cstheme="minorHAnsi"/>
          <w:b/>
          <w:sz w:val="24"/>
          <w:szCs w:val="24"/>
        </w:rPr>
        <w:t xml:space="preserve">Nevada GWTG data reveals </w:t>
      </w:r>
      <w:r w:rsidRPr="00173985">
        <w:rPr>
          <w:rFonts w:cstheme="minorHAnsi"/>
          <w:b/>
          <w:sz w:val="24"/>
          <w:szCs w:val="24"/>
        </w:rPr>
        <w:t xml:space="preserve">disparities for stroke </w:t>
      </w:r>
      <w:r w:rsidR="00393DD6" w:rsidRPr="00173985">
        <w:rPr>
          <w:rFonts w:cstheme="minorHAnsi"/>
          <w:b/>
          <w:sz w:val="24"/>
          <w:szCs w:val="24"/>
        </w:rPr>
        <w:t xml:space="preserve">which </w:t>
      </w:r>
      <w:r w:rsidR="006A2452" w:rsidRPr="00173985">
        <w:rPr>
          <w:rFonts w:cstheme="minorHAnsi"/>
          <w:b/>
          <w:sz w:val="24"/>
          <w:szCs w:val="24"/>
        </w:rPr>
        <w:t>are</w:t>
      </w:r>
      <w:r w:rsidRPr="00173985">
        <w:rPr>
          <w:rFonts w:cstheme="minorHAnsi"/>
          <w:b/>
          <w:sz w:val="24"/>
          <w:szCs w:val="24"/>
        </w:rPr>
        <w:t xml:space="preserve"> most apparent among </w:t>
      </w:r>
      <w:r w:rsidR="00E0784D" w:rsidRPr="00173985">
        <w:rPr>
          <w:rFonts w:cstheme="minorHAnsi"/>
          <w:b/>
          <w:sz w:val="24"/>
          <w:szCs w:val="24"/>
        </w:rPr>
        <w:t>African American</w:t>
      </w:r>
      <w:r w:rsidR="000E195E" w:rsidRPr="00173985">
        <w:rPr>
          <w:rFonts w:cstheme="minorHAnsi"/>
          <w:b/>
          <w:sz w:val="24"/>
          <w:szCs w:val="24"/>
        </w:rPr>
        <w:t xml:space="preserve">s in </w:t>
      </w:r>
      <w:r w:rsidRPr="00173985">
        <w:rPr>
          <w:rFonts w:cstheme="minorHAnsi"/>
          <w:b/>
          <w:sz w:val="24"/>
          <w:szCs w:val="24"/>
        </w:rPr>
        <w:t>Nevada</w:t>
      </w:r>
      <w:r w:rsidR="006D0ED2" w:rsidRPr="00173985">
        <w:rPr>
          <w:rFonts w:cstheme="minorHAnsi"/>
          <w:b/>
          <w:sz w:val="24"/>
          <w:szCs w:val="24"/>
        </w:rPr>
        <w:t xml:space="preserve">. </w:t>
      </w:r>
      <w:r w:rsidRPr="00173985">
        <w:rPr>
          <w:rFonts w:cstheme="minorHAnsi"/>
          <w:b/>
          <w:sz w:val="24"/>
          <w:szCs w:val="24"/>
        </w:rPr>
        <w:t xml:space="preserve">An emphasis </w:t>
      </w:r>
      <w:r w:rsidR="0001395D" w:rsidRPr="00173985">
        <w:rPr>
          <w:rFonts w:cstheme="minorHAnsi"/>
          <w:b/>
          <w:sz w:val="24"/>
          <w:szCs w:val="24"/>
        </w:rPr>
        <w:t>should</w:t>
      </w:r>
      <w:r w:rsidRPr="00173985">
        <w:rPr>
          <w:rFonts w:cstheme="minorHAnsi"/>
          <w:b/>
          <w:sz w:val="24"/>
          <w:szCs w:val="24"/>
        </w:rPr>
        <w:t xml:space="preserve"> be placed on addressing racial and ethnic disparities relating to stroke prevention and care and </w:t>
      </w:r>
      <w:r w:rsidR="00C60709" w:rsidRPr="00173985">
        <w:rPr>
          <w:rFonts w:cstheme="minorHAnsi"/>
          <w:b/>
          <w:sz w:val="24"/>
          <w:szCs w:val="24"/>
        </w:rPr>
        <w:t xml:space="preserve">identified </w:t>
      </w:r>
      <w:r w:rsidRPr="00173985">
        <w:rPr>
          <w:rFonts w:cstheme="minorHAnsi"/>
          <w:b/>
          <w:sz w:val="24"/>
          <w:szCs w:val="24"/>
        </w:rPr>
        <w:t>contributing factors.</w:t>
      </w:r>
    </w:p>
    <w:p w14:paraId="780EF5EB" w14:textId="3E703E36" w:rsidR="00B60547" w:rsidRPr="00173985" w:rsidRDefault="00B60547" w:rsidP="00173985">
      <w:pPr>
        <w:pStyle w:val="ListParagraph"/>
        <w:numPr>
          <w:ilvl w:val="0"/>
          <w:numId w:val="5"/>
        </w:numPr>
        <w:spacing w:after="0"/>
        <w:jc w:val="both"/>
        <w:rPr>
          <w:rFonts w:cstheme="minorHAnsi"/>
          <w:sz w:val="24"/>
          <w:szCs w:val="24"/>
        </w:rPr>
      </w:pPr>
      <w:r w:rsidRPr="00173985">
        <w:rPr>
          <w:rFonts w:cstheme="minorHAnsi"/>
          <w:sz w:val="24"/>
          <w:szCs w:val="24"/>
        </w:rPr>
        <w:t>Reporting fatigue</w:t>
      </w:r>
      <w:r w:rsidR="0001395D" w:rsidRPr="00173985">
        <w:rPr>
          <w:rFonts w:cstheme="minorHAnsi"/>
          <w:sz w:val="24"/>
          <w:szCs w:val="24"/>
        </w:rPr>
        <w:t xml:space="preserve"> on the part of providers and organizations coupled with</w:t>
      </w:r>
      <w:r w:rsidRPr="00173985">
        <w:rPr>
          <w:rFonts w:cstheme="minorHAnsi"/>
          <w:sz w:val="24"/>
          <w:szCs w:val="24"/>
        </w:rPr>
        <w:t xml:space="preserve"> numerous reporting requirements</w:t>
      </w:r>
      <w:r w:rsidR="0001395D" w:rsidRPr="00173985">
        <w:rPr>
          <w:rFonts w:cstheme="minorHAnsi"/>
          <w:sz w:val="24"/>
          <w:szCs w:val="24"/>
        </w:rPr>
        <w:t xml:space="preserve"> and </w:t>
      </w:r>
      <w:r w:rsidRPr="00173985">
        <w:rPr>
          <w:rFonts w:cstheme="minorHAnsi"/>
          <w:sz w:val="24"/>
          <w:szCs w:val="24"/>
        </w:rPr>
        <w:t xml:space="preserve">demands </w:t>
      </w:r>
      <w:r w:rsidR="005854E9" w:rsidRPr="00173985">
        <w:rPr>
          <w:rFonts w:cstheme="minorHAnsi"/>
          <w:sz w:val="24"/>
          <w:szCs w:val="24"/>
        </w:rPr>
        <w:t>are barriers</w:t>
      </w:r>
      <w:r w:rsidRPr="00173985">
        <w:rPr>
          <w:rFonts w:cstheme="minorHAnsi"/>
          <w:sz w:val="24"/>
          <w:szCs w:val="24"/>
        </w:rPr>
        <w:t xml:space="preserve"> to effective and beneficial reporting of all stroke cases</w:t>
      </w:r>
      <w:r w:rsidR="0001395D" w:rsidRPr="00173985">
        <w:rPr>
          <w:rFonts w:cstheme="minorHAnsi"/>
          <w:sz w:val="24"/>
          <w:szCs w:val="24"/>
        </w:rPr>
        <w:t>, contributing to</w:t>
      </w:r>
      <w:r w:rsidRPr="00173985">
        <w:rPr>
          <w:rFonts w:cstheme="minorHAnsi"/>
          <w:sz w:val="24"/>
          <w:szCs w:val="24"/>
        </w:rPr>
        <w:t xml:space="preserve"> the current limited</w:t>
      </w:r>
      <w:r w:rsidR="003D64C6" w:rsidRPr="00173985">
        <w:rPr>
          <w:rFonts w:cstheme="minorHAnsi"/>
          <w:sz w:val="24"/>
          <w:szCs w:val="24"/>
        </w:rPr>
        <w:t xml:space="preserve"> submission of</w:t>
      </w:r>
      <w:r w:rsidRPr="00173985">
        <w:rPr>
          <w:rFonts w:cstheme="minorHAnsi"/>
          <w:sz w:val="24"/>
          <w:szCs w:val="24"/>
        </w:rPr>
        <w:t xml:space="preserve"> stroke cases</w:t>
      </w:r>
      <w:r w:rsidR="00D76B29" w:rsidRPr="00173985">
        <w:rPr>
          <w:rFonts w:cstheme="minorHAnsi"/>
          <w:sz w:val="24"/>
          <w:szCs w:val="24"/>
        </w:rPr>
        <w:t xml:space="preserve"> in Nevada</w:t>
      </w:r>
      <w:r w:rsidRPr="00173985">
        <w:rPr>
          <w:rFonts w:cstheme="minorHAnsi"/>
          <w:sz w:val="24"/>
          <w:szCs w:val="24"/>
        </w:rPr>
        <w:t>.</w:t>
      </w:r>
    </w:p>
    <w:p w14:paraId="0D754224" w14:textId="112E9511" w:rsidR="00F2172F" w:rsidRPr="00173985" w:rsidRDefault="00B60547" w:rsidP="00173985">
      <w:pPr>
        <w:pStyle w:val="ListParagraph"/>
        <w:numPr>
          <w:ilvl w:val="2"/>
          <w:numId w:val="5"/>
        </w:numPr>
        <w:spacing w:after="0"/>
        <w:ind w:left="1440"/>
        <w:jc w:val="both"/>
        <w:rPr>
          <w:rFonts w:cstheme="minorHAnsi"/>
          <w:b/>
          <w:sz w:val="24"/>
          <w:szCs w:val="24"/>
        </w:rPr>
      </w:pPr>
      <w:r w:rsidRPr="00173985">
        <w:rPr>
          <w:rFonts w:cstheme="minorHAnsi"/>
          <w:b/>
          <w:sz w:val="24"/>
          <w:szCs w:val="24"/>
        </w:rPr>
        <w:t xml:space="preserve">QI recommendation: Determine a </w:t>
      </w:r>
      <w:r w:rsidR="0001395D" w:rsidRPr="00173985">
        <w:rPr>
          <w:rFonts w:cstheme="minorHAnsi"/>
          <w:b/>
          <w:sz w:val="24"/>
          <w:szCs w:val="24"/>
        </w:rPr>
        <w:t>QI</w:t>
      </w:r>
      <w:r w:rsidRPr="00173985">
        <w:rPr>
          <w:rFonts w:cstheme="minorHAnsi"/>
          <w:b/>
          <w:sz w:val="24"/>
          <w:szCs w:val="24"/>
        </w:rPr>
        <w:t xml:space="preserve"> activity </w:t>
      </w:r>
      <w:r w:rsidR="0001395D" w:rsidRPr="00173985">
        <w:rPr>
          <w:rFonts w:cstheme="minorHAnsi"/>
          <w:b/>
          <w:sz w:val="24"/>
          <w:szCs w:val="24"/>
        </w:rPr>
        <w:t>to</w:t>
      </w:r>
      <w:r w:rsidRPr="00173985">
        <w:rPr>
          <w:rFonts w:cstheme="minorHAnsi"/>
          <w:b/>
          <w:sz w:val="24"/>
          <w:szCs w:val="24"/>
        </w:rPr>
        <w:t xml:space="preserve"> reduce reporting fatigue and requirements/demands to facilitate increased reporting to encompass all stroke cases encountered by each facility.</w:t>
      </w:r>
      <w:r w:rsidR="00F2172F" w:rsidRPr="00173985">
        <w:rPr>
          <w:rFonts w:cstheme="minorHAnsi"/>
          <w:b/>
          <w:sz w:val="24"/>
          <w:szCs w:val="24"/>
        </w:rPr>
        <w:t xml:space="preserve"> </w:t>
      </w:r>
    </w:p>
    <w:p w14:paraId="3C2E3FA2" w14:textId="730F6013" w:rsidR="00B60547" w:rsidRPr="00173985" w:rsidRDefault="00B60547" w:rsidP="00173985">
      <w:pPr>
        <w:pStyle w:val="ListParagraph"/>
        <w:numPr>
          <w:ilvl w:val="2"/>
          <w:numId w:val="5"/>
        </w:numPr>
        <w:spacing w:after="0"/>
        <w:ind w:left="1440"/>
        <w:jc w:val="both"/>
        <w:rPr>
          <w:rFonts w:cstheme="minorHAnsi"/>
          <w:b/>
          <w:sz w:val="24"/>
          <w:szCs w:val="24"/>
        </w:rPr>
      </w:pPr>
      <w:r w:rsidRPr="00173985">
        <w:rPr>
          <w:rFonts w:cstheme="minorHAnsi"/>
          <w:b/>
          <w:sz w:val="24"/>
          <w:szCs w:val="24"/>
        </w:rPr>
        <w:t xml:space="preserve">QI recommendation: Explore </w:t>
      </w:r>
      <w:r w:rsidR="00562314" w:rsidRPr="00173985">
        <w:rPr>
          <w:rFonts w:cstheme="minorHAnsi"/>
          <w:b/>
          <w:sz w:val="24"/>
          <w:szCs w:val="24"/>
        </w:rPr>
        <w:t xml:space="preserve">the </w:t>
      </w:r>
      <w:r w:rsidRPr="00173985">
        <w:rPr>
          <w:rFonts w:cstheme="minorHAnsi"/>
          <w:b/>
          <w:sz w:val="24"/>
          <w:szCs w:val="24"/>
        </w:rPr>
        <w:t>feasibility of us</w:t>
      </w:r>
      <w:r w:rsidR="0001395D" w:rsidRPr="00173985">
        <w:rPr>
          <w:rFonts w:cstheme="minorHAnsi"/>
          <w:b/>
          <w:sz w:val="24"/>
          <w:szCs w:val="24"/>
        </w:rPr>
        <w:t>ing</w:t>
      </w:r>
      <w:r w:rsidRPr="00173985">
        <w:rPr>
          <w:rFonts w:cstheme="minorHAnsi"/>
          <w:b/>
          <w:sz w:val="24"/>
          <w:szCs w:val="24"/>
        </w:rPr>
        <w:t xml:space="preserve"> a template for entering data from Electronic Health Records (EHRs)</w:t>
      </w:r>
      <w:r w:rsidR="0001395D" w:rsidRPr="00173985">
        <w:rPr>
          <w:rFonts w:cstheme="minorHAnsi"/>
          <w:b/>
          <w:sz w:val="24"/>
          <w:szCs w:val="24"/>
        </w:rPr>
        <w:t xml:space="preserve"> into the Nevada Stroke Registry</w:t>
      </w:r>
      <w:r w:rsidRPr="00173985">
        <w:rPr>
          <w:rFonts w:cstheme="minorHAnsi"/>
          <w:b/>
          <w:sz w:val="24"/>
          <w:szCs w:val="24"/>
        </w:rPr>
        <w:t xml:space="preserve"> and develop data-sharing capability or importing-exporting functionality between the </w:t>
      </w:r>
      <w:r w:rsidR="0001395D" w:rsidRPr="00173985">
        <w:rPr>
          <w:rFonts w:cstheme="minorHAnsi"/>
          <w:b/>
          <w:sz w:val="24"/>
          <w:szCs w:val="24"/>
        </w:rPr>
        <w:t>Nevada Stroke Registry</w:t>
      </w:r>
      <w:r w:rsidRPr="00173985">
        <w:rPr>
          <w:rFonts w:cstheme="minorHAnsi"/>
          <w:b/>
          <w:sz w:val="24"/>
          <w:szCs w:val="24"/>
        </w:rPr>
        <w:t xml:space="preserve"> and EHRs.</w:t>
      </w:r>
      <w:r w:rsidR="00C1256C" w:rsidRPr="00173985">
        <w:rPr>
          <w:rFonts w:cstheme="minorHAnsi"/>
          <w:b/>
          <w:sz w:val="24"/>
          <w:szCs w:val="24"/>
        </w:rPr>
        <w:t xml:space="preserve"> </w:t>
      </w:r>
      <w:r w:rsidR="005854E9" w:rsidRPr="00173985">
        <w:rPr>
          <w:rFonts w:cstheme="minorHAnsi"/>
          <w:b/>
          <w:sz w:val="24"/>
          <w:szCs w:val="24"/>
        </w:rPr>
        <w:t>Identify methods</w:t>
      </w:r>
      <w:r w:rsidR="00180AE7" w:rsidRPr="00173985">
        <w:rPr>
          <w:rFonts w:cstheme="minorHAnsi"/>
          <w:b/>
          <w:sz w:val="24"/>
          <w:szCs w:val="24"/>
        </w:rPr>
        <w:t xml:space="preserve"> to improve data communication between</w:t>
      </w:r>
      <w:r w:rsidR="006418AD" w:rsidRPr="00173985">
        <w:rPr>
          <w:rFonts w:cstheme="minorHAnsi"/>
          <w:b/>
          <w:sz w:val="24"/>
          <w:szCs w:val="24"/>
        </w:rPr>
        <w:t xml:space="preserve"> systems </w:t>
      </w:r>
      <w:r w:rsidR="00D76B29" w:rsidRPr="00173985">
        <w:rPr>
          <w:rFonts w:cstheme="minorHAnsi"/>
          <w:b/>
          <w:sz w:val="24"/>
          <w:szCs w:val="24"/>
        </w:rPr>
        <w:t>by</w:t>
      </w:r>
      <w:r w:rsidR="006418AD" w:rsidRPr="00173985">
        <w:rPr>
          <w:rFonts w:cstheme="minorHAnsi"/>
          <w:b/>
          <w:sz w:val="24"/>
          <w:szCs w:val="24"/>
        </w:rPr>
        <w:t xml:space="preserve"> a</w:t>
      </w:r>
      <w:r w:rsidR="00C1256C" w:rsidRPr="00173985">
        <w:rPr>
          <w:rFonts w:cstheme="minorHAnsi"/>
          <w:b/>
          <w:sz w:val="24"/>
          <w:szCs w:val="24"/>
        </w:rPr>
        <w:t>ssisting</w:t>
      </w:r>
      <w:r w:rsidR="00D76B29" w:rsidRPr="00173985">
        <w:rPr>
          <w:rFonts w:cstheme="minorHAnsi"/>
          <w:b/>
          <w:sz w:val="24"/>
          <w:szCs w:val="24"/>
        </w:rPr>
        <w:t xml:space="preserve"> with and </w:t>
      </w:r>
      <w:r w:rsidR="00C1256C" w:rsidRPr="00173985">
        <w:rPr>
          <w:rFonts w:cstheme="minorHAnsi"/>
          <w:b/>
          <w:sz w:val="24"/>
          <w:szCs w:val="24"/>
        </w:rPr>
        <w:lastRenderedPageBreak/>
        <w:t xml:space="preserve">supporting the development of data interfacing between </w:t>
      </w:r>
      <w:r w:rsidR="00D76B29" w:rsidRPr="00173985">
        <w:rPr>
          <w:rFonts w:cstheme="minorHAnsi"/>
          <w:b/>
          <w:sz w:val="24"/>
          <w:szCs w:val="24"/>
        </w:rPr>
        <w:t>h</w:t>
      </w:r>
      <w:r w:rsidR="00C1256C" w:rsidRPr="00173985">
        <w:rPr>
          <w:rFonts w:cstheme="minorHAnsi"/>
          <w:b/>
          <w:sz w:val="24"/>
          <w:szCs w:val="24"/>
        </w:rPr>
        <w:t>ospital</w:t>
      </w:r>
      <w:r w:rsidR="00D76B29" w:rsidRPr="00173985">
        <w:rPr>
          <w:rFonts w:cstheme="minorHAnsi"/>
          <w:b/>
          <w:sz w:val="24"/>
          <w:szCs w:val="24"/>
        </w:rPr>
        <w:t>s’</w:t>
      </w:r>
      <w:r w:rsidR="00C1256C" w:rsidRPr="00173985">
        <w:rPr>
          <w:rFonts w:cstheme="minorHAnsi"/>
          <w:b/>
          <w:sz w:val="24"/>
          <w:szCs w:val="24"/>
        </w:rPr>
        <w:t xml:space="preserve"> </w:t>
      </w:r>
      <w:r w:rsidR="00D76B29" w:rsidRPr="00173985">
        <w:rPr>
          <w:rFonts w:cstheme="minorHAnsi"/>
          <w:b/>
          <w:sz w:val="24"/>
          <w:szCs w:val="24"/>
        </w:rPr>
        <w:t>EHRs</w:t>
      </w:r>
      <w:r w:rsidR="00C1256C" w:rsidRPr="00173985">
        <w:rPr>
          <w:rFonts w:cstheme="minorHAnsi"/>
          <w:b/>
          <w:sz w:val="24"/>
          <w:szCs w:val="24"/>
        </w:rPr>
        <w:t xml:space="preserve"> and the </w:t>
      </w:r>
      <w:r w:rsidR="00D76B29" w:rsidRPr="00173985">
        <w:rPr>
          <w:rFonts w:cstheme="minorHAnsi"/>
          <w:b/>
          <w:sz w:val="24"/>
          <w:szCs w:val="24"/>
        </w:rPr>
        <w:t>Nevada S</w:t>
      </w:r>
      <w:r w:rsidR="00C1256C" w:rsidRPr="00173985">
        <w:rPr>
          <w:rFonts w:cstheme="minorHAnsi"/>
          <w:b/>
          <w:sz w:val="24"/>
          <w:szCs w:val="24"/>
        </w:rPr>
        <w:t xml:space="preserve">troke </w:t>
      </w:r>
      <w:r w:rsidR="00D76B29" w:rsidRPr="00173985">
        <w:rPr>
          <w:rFonts w:cstheme="minorHAnsi"/>
          <w:b/>
          <w:sz w:val="24"/>
          <w:szCs w:val="24"/>
        </w:rPr>
        <w:t>R</w:t>
      </w:r>
      <w:r w:rsidR="00C1256C" w:rsidRPr="00173985">
        <w:rPr>
          <w:rFonts w:cstheme="minorHAnsi"/>
          <w:b/>
          <w:sz w:val="24"/>
          <w:szCs w:val="24"/>
        </w:rPr>
        <w:t>egistry.</w:t>
      </w:r>
    </w:p>
    <w:p w14:paraId="554C0B7B" w14:textId="77777777" w:rsidR="00B60547" w:rsidRPr="00173985" w:rsidRDefault="00B60547" w:rsidP="00173985">
      <w:pPr>
        <w:pStyle w:val="TextOPHIE"/>
        <w:numPr>
          <w:ilvl w:val="0"/>
          <w:numId w:val="5"/>
        </w:numPr>
        <w:spacing w:line="276" w:lineRule="auto"/>
        <w:jc w:val="both"/>
        <w:rPr>
          <w:rFonts w:asciiTheme="minorHAnsi" w:hAnsiTheme="minorHAnsi" w:cstheme="minorHAnsi"/>
          <w:sz w:val="24"/>
          <w:szCs w:val="24"/>
        </w:rPr>
      </w:pPr>
      <w:r w:rsidRPr="00173985">
        <w:rPr>
          <w:rFonts w:asciiTheme="minorHAnsi" w:hAnsiTheme="minorHAnsi" w:cstheme="minorHAnsi"/>
          <w:sz w:val="24"/>
          <w:szCs w:val="24"/>
        </w:rPr>
        <w:t>Include stroke hospital pre-notification by EMS statewide to maximize transitions along the continuum of care.</w:t>
      </w:r>
    </w:p>
    <w:p w14:paraId="2C4DA72E" w14:textId="0D8ADC04" w:rsidR="00433706" w:rsidRPr="00173985" w:rsidRDefault="00B60547" w:rsidP="00173985">
      <w:pPr>
        <w:pStyle w:val="ListParagraph"/>
        <w:numPr>
          <w:ilvl w:val="0"/>
          <w:numId w:val="5"/>
        </w:numPr>
        <w:spacing w:after="0"/>
        <w:jc w:val="both"/>
        <w:rPr>
          <w:rFonts w:cstheme="minorHAnsi"/>
          <w:sz w:val="24"/>
          <w:szCs w:val="24"/>
        </w:rPr>
      </w:pPr>
      <w:r w:rsidRPr="00173985">
        <w:rPr>
          <w:rFonts w:cstheme="minorHAnsi"/>
          <w:sz w:val="24"/>
          <w:szCs w:val="24"/>
        </w:rPr>
        <w:t>Continue to increase statewide performance on time to intravenous thrombolytic therapy within 60 minutes</w:t>
      </w:r>
      <w:r w:rsidR="00D76B29" w:rsidRPr="00173985">
        <w:rPr>
          <w:rFonts w:cstheme="minorHAnsi"/>
          <w:sz w:val="24"/>
          <w:szCs w:val="24"/>
        </w:rPr>
        <w:t>.</w:t>
      </w:r>
    </w:p>
    <w:p w14:paraId="61616185" w14:textId="3567A0AD" w:rsidR="00B60547" w:rsidRPr="00173985" w:rsidRDefault="00433706" w:rsidP="00173985">
      <w:pPr>
        <w:pStyle w:val="ListParagraph"/>
        <w:numPr>
          <w:ilvl w:val="0"/>
          <w:numId w:val="5"/>
        </w:numPr>
        <w:spacing w:after="0"/>
        <w:jc w:val="both"/>
        <w:rPr>
          <w:rFonts w:cstheme="minorHAnsi"/>
          <w:sz w:val="24"/>
          <w:szCs w:val="24"/>
        </w:rPr>
      </w:pPr>
      <w:r w:rsidRPr="00173985">
        <w:rPr>
          <w:rFonts w:cstheme="minorHAnsi"/>
          <w:sz w:val="24"/>
          <w:szCs w:val="24"/>
        </w:rPr>
        <w:t>Increase statewide performance with initial use of thrombectomy device within 90 minutes for direct-arriving patients (60 minutes for transfer patients) in eligible acute ischemic stroke patients</w:t>
      </w:r>
      <w:r w:rsidR="00B60547" w:rsidRPr="00173985">
        <w:rPr>
          <w:rFonts w:cstheme="minorHAnsi"/>
          <w:sz w:val="24"/>
          <w:szCs w:val="24"/>
        </w:rPr>
        <w:t>.</w:t>
      </w:r>
    </w:p>
    <w:p w14:paraId="6FE72479" w14:textId="56B4F8E7" w:rsidR="00B60547" w:rsidRPr="00173985" w:rsidRDefault="00B60547" w:rsidP="00173985">
      <w:pPr>
        <w:pStyle w:val="ListParagraph"/>
        <w:numPr>
          <w:ilvl w:val="0"/>
          <w:numId w:val="5"/>
        </w:numPr>
        <w:spacing w:after="0"/>
        <w:jc w:val="both"/>
        <w:rPr>
          <w:rFonts w:cstheme="minorHAnsi"/>
          <w:sz w:val="24"/>
          <w:szCs w:val="24"/>
        </w:rPr>
      </w:pPr>
      <w:r w:rsidRPr="00173985">
        <w:rPr>
          <w:rFonts w:cstheme="minorHAnsi"/>
          <w:sz w:val="24"/>
          <w:szCs w:val="24"/>
        </w:rPr>
        <w:t xml:space="preserve">Decrease last known well to arrival time to maximize survivorship and decrease </w:t>
      </w:r>
      <w:r w:rsidR="00B930F1" w:rsidRPr="00173985">
        <w:rPr>
          <w:rFonts w:cstheme="minorHAnsi"/>
          <w:sz w:val="24"/>
          <w:szCs w:val="24"/>
        </w:rPr>
        <w:t xml:space="preserve">the </w:t>
      </w:r>
      <w:r w:rsidRPr="00173985">
        <w:rPr>
          <w:rFonts w:cstheme="minorHAnsi"/>
          <w:sz w:val="24"/>
          <w:szCs w:val="24"/>
        </w:rPr>
        <w:t>disability burden.</w:t>
      </w:r>
    </w:p>
    <w:p w14:paraId="6D4A166F" w14:textId="13EF7D0E" w:rsidR="00514DD8" w:rsidRDefault="00B60547" w:rsidP="00173985">
      <w:pPr>
        <w:pStyle w:val="ListParagraph"/>
        <w:numPr>
          <w:ilvl w:val="0"/>
          <w:numId w:val="5"/>
        </w:numPr>
        <w:spacing w:after="0"/>
        <w:jc w:val="both"/>
        <w:rPr>
          <w:rFonts w:cstheme="minorHAnsi"/>
          <w:sz w:val="24"/>
        </w:rPr>
      </w:pPr>
      <w:r w:rsidRPr="00EB70C1">
        <w:rPr>
          <w:rFonts w:cstheme="minorHAnsi"/>
          <w:sz w:val="24"/>
        </w:rPr>
        <w:t xml:space="preserve">Explore </w:t>
      </w:r>
      <w:r w:rsidR="00F74F1E" w:rsidRPr="00EB70C1">
        <w:rPr>
          <w:rFonts w:cstheme="minorHAnsi"/>
          <w:sz w:val="24"/>
        </w:rPr>
        <w:t>the interest</w:t>
      </w:r>
      <w:r w:rsidR="00F450C9" w:rsidRPr="00EB70C1">
        <w:rPr>
          <w:rFonts w:cstheme="minorHAnsi"/>
          <w:sz w:val="24"/>
        </w:rPr>
        <w:t>s</w:t>
      </w:r>
      <w:r w:rsidR="00F74F1E" w:rsidRPr="00EB70C1">
        <w:rPr>
          <w:rFonts w:cstheme="minorHAnsi"/>
          <w:sz w:val="24"/>
        </w:rPr>
        <w:t xml:space="preserve"> </w:t>
      </w:r>
      <w:r w:rsidR="00D76B29" w:rsidRPr="00EB70C1">
        <w:rPr>
          <w:rFonts w:cstheme="minorHAnsi"/>
          <w:sz w:val="24"/>
        </w:rPr>
        <w:t>of</w:t>
      </w:r>
      <w:r w:rsidR="00F74F1E" w:rsidRPr="00EB70C1">
        <w:rPr>
          <w:rFonts w:cstheme="minorHAnsi"/>
          <w:sz w:val="24"/>
        </w:rPr>
        <w:t xml:space="preserve"> the members of </w:t>
      </w:r>
      <w:r w:rsidR="0001395D" w:rsidRPr="00EB70C1">
        <w:rPr>
          <w:rFonts w:cstheme="minorHAnsi"/>
          <w:sz w:val="24"/>
        </w:rPr>
        <w:t>Nevada</w:t>
      </w:r>
      <w:r w:rsidR="00D76B29" w:rsidRPr="00EB70C1">
        <w:rPr>
          <w:rFonts w:cstheme="minorHAnsi"/>
          <w:sz w:val="24"/>
        </w:rPr>
        <w:t xml:space="preserve">’s </w:t>
      </w:r>
      <w:r w:rsidR="0001395D" w:rsidRPr="00EB70C1">
        <w:rPr>
          <w:rFonts w:cstheme="minorHAnsi"/>
          <w:sz w:val="24"/>
        </w:rPr>
        <w:t xml:space="preserve">Heart </w:t>
      </w:r>
      <w:r w:rsidR="008676AB" w:rsidRPr="00EB70C1">
        <w:rPr>
          <w:rFonts w:cstheme="minorHAnsi"/>
          <w:sz w:val="24"/>
        </w:rPr>
        <w:t xml:space="preserve">Disease </w:t>
      </w:r>
      <w:r w:rsidR="0001395D" w:rsidRPr="00EB70C1">
        <w:rPr>
          <w:rFonts w:cstheme="minorHAnsi"/>
          <w:sz w:val="24"/>
        </w:rPr>
        <w:t xml:space="preserve">and Stroke </w:t>
      </w:r>
      <w:r w:rsidR="0085084E" w:rsidRPr="00EB70C1">
        <w:rPr>
          <w:rFonts w:cstheme="minorHAnsi"/>
          <w:sz w:val="24"/>
        </w:rPr>
        <w:t xml:space="preserve">Prevention </w:t>
      </w:r>
      <w:r w:rsidR="0001395D" w:rsidRPr="00EB70C1">
        <w:rPr>
          <w:rFonts w:cstheme="minorHAnsi"/>
          <w:sz w:val="24"/>
        </w:rPr>
        <w:t xml:space="preserve">Taskforce </w:t>
      </w:r>
      <w:r w:rsidR="00D76B29" w:rsidRPr="00EB70C1">
        <w:rPr>
          <w:rFonts w:cstheme="minorHAnsi"/>
          <w:sz w:val="24"/>
        </w:rPr>
        <w:t>regarding</w:t>
      </w:r>
      <w:r w:rsidR="00F74F1E" w:rsidRPr="00EB70C1">
        <w:rPr>
          <w:rFonts w:cstheme="minorHAnsi"/>
          <w:sz w:val="24"/>
        </w:rPr>
        <w:t xml:space="preserve"> review</w:t>
      </w:r>
      <w:r w:rsidR="00D76B29" w:rsidRPr="00EB70C1">
        <w:rPr>
          <w:rFonts w:cstheme="minorHAnsi"/>
          <w:sz w:val="24"/>
        </w:rPr>
        <w:t>ing</w:t>
      </w:r>
      <w:r w:rsidR="00F450C9" w:rsidRPr="00EB70C1">
        <w:rPr>
          <w:rFonts w:cstheme="minorHAnsi"/>
          <w:sz w:val="24"/>
        </w:rPr>
        <w:t xml:space="preserve"> </w:t>
      </w:r>
      <w:r w:rsidRPr="00EB70C1">
        <w:rPr>
          <w:rFonts w:cstheme="minorHAnsi"/>
          <w:sz w:val="24"/>
        </w:rPr>
        <w:t xml:space="preserve">stroke registry data </w:t>
      </w:r>
      <w:r w:rsidR="00F74F1E" w:rsidRPr="00EB70C1">
        <w:rPr>
          <w:rFonts w:cstheme="minorHAnsi"/>
          <w:sz w:val="24"/>
        </w:rPr>
        <w:t>to make</w:t>
      </w:r>
      <w:r w:rsidRPr="00EB70C1">
        <w:rPr>
          <w:rFonts w:cstheme="minorHAnsi"/>
          <w:sz w:val="24"/>
        </w:rPr>
        <w:t xml:space="preserve"> </w:t>
      </w:r>
      <w:r w:rsidR="00D76B29" w:rsidRPr="00EB70C1">
        <w:rPr>
          <w:rFonts w:cstheme="minorHAnsi"/>
          <w:sz w:val="24"/>
        </w:rPr>
        <w:t xml:space="preserve">more informed </w:t>
      </w:r>
      <w:r w:rsidRPr="00EB70C1">
        <w:rPr>
          <w:rFonts w:cstheme="minorHAnsi"/>
          <w:sz w:val="24"/>
        </w:rPr>
        <w:t xml:space="preserve">recommendations on quality improvement for possible incorporation into </w:t>
      </w:r>
      <w:r w:rsidR="00F450C9" w:rsidRPr="00EB70C1">
        <w:rPr>
          <w:rFonts w:cstheme="minorHAnsi"/>
          <w:sz w:val="24"/>
        </w:rPr>
        <w:t xml:space="preserve">the </w:t>
      </w:r>
      <w:r w:rsidRPr="00EB70C1">
        <w:rPr>
          <w:rFonts w:cstheme="minorHAnsi"/>
          <w:sz w:val="24"/>
        </w:rPr>
        <w:t>Nevada Stroke Registry Report</w:t>
      </w:r>
      <w:r w:rsidR="0001395D" w:rsidRPr="00EB70C1">
        <w:rPr>
          <w:rFonts w:cstheme="minorHAnsi"/>
          <w:sz w:val="24"/>
        </w:rPr>
        <w:t>s</w:t>
      </w:r>
      <w:r w:rsidR="00F450C9" w:rsidRPr="00EB70C1">
        <w:rPr>
          <w:rFonts w:cstheme="minorHAnsi"/>
          <w:sz w:val="24"/>
        </w:rPr>
        <w:t xml:space="preserve"> in</w:t>
      </w:r>
      <w:r w:rsidR="00D76B29" w:rsidRPr="00EB70C1">
        <w:rPr>
          <w:rFonts w:cstheme="minorHAnsi"/>
          <w:sz w:val="24"/>
        </w:rPr>
        <w:t xml:space="preserve"> the</w:t>
      </w:r>
      <w:r w:rsidR="00F450C9" w:rsidRPr="00EB70C1">
        <w:rPr>
          <w:rFonts w:cstheme="minorHAnsi"/>
          <w:sz w:val="24"/>
        </w:rPr>
        <w:t xml:space="preserve"> future</w:t>
      </w:r>
      <w:r w:rsidRPr="00EB70C1">
        <w:rPr>
          <w:rFonts w:cstheme="minorHAnsi"/>
          <w:sz w:val="24"/>
        </w:rPr>
        <w:t>.</w:t>
      </w:r>
    </w:p>
    <w:p w14:paraId="752ED5A7" w14:textId="77777777" w:rsidR="00C22EB3" w:rsidRPr="00C22EB3" w:rsidRDefault="00C22EB3" w:rsidP="00C22EB3">
      <w:pPr>
        <w:spacing w:after="0"/>
        <w:jc w:val="both"/>
        <w:rPr>
          <w:rFonts w:cstheme="minorHAnsi"/>
          <w:sz w:val="24"/>
        </w:rPr>
      </w:pPr>
    </w:p>
    <w:p w14:paraId="599CD06F" w14:textId="35E6F6D5" w:rsidR="002B0A93" w:rsidRPr="006F3331" w:rsidRDefault="002B0A93" w:rsidP="00514DD8">
      <w:pPr>
        <w:pStyle w:val="Heading1STD0"/>
        <w:spacing w:before="0" w:after="0" w:line="276" w:lineRule="auto"/>
        <w:rPr>
          <w:rFonts w:asciiTheme="minorHAnsi" w:hAnsiTheme="minorHAnsi" w:cstheme="minorHAnsi"/>
          <w:sz w:val="36"/>
          <w:szCs w:val="36"/>
        </w:rPr>
      </w:pPr>
      <w:r w:rsidRPr="006F3331">
        <w:rPr>
          <w:rFonts w:asciiTheme="minorHAnsi" w:hAnsiTheme="minorHAnsi" w:cstheme="minorHAnsi"/>
          <w:sz w:val="36"/>
          <w:szCs w:val="36"/>
        </w:rPr>
        <w:t>Legislative Recommendations</w:t>
      </w:r>
    </w:p>
    <w:p w14:paraId="3E62A0B5" w14:textId="4004486E" w:rsidR="00B75D8E" w:rsidRPr="00B96DFA" w:rsidRDefault="009C612D" w:rsidP="00B96DFA">
      <w:pPr>
        <w:pStyle w:val="TextOPHIE"/>
        <w:spacing w:line="276" w:lineRule="auto"/>
        <w:jc w:val="both"/>
        <w:rPr>
          <w:rFonts w:asciiTheme="minorHAnsi" w:hAnsiTheme="minorHAnsi" w:cstheme="minorHAnsi"/>
          <w:sz w:val="24"/>
          <w:szCs w:val="24"/>
          <w:vertAlign w:val="superscript"/>
        </w:rPr>
      </w:pPr>
      <w:r w:rsidRPr="00B96DFA">
        <w:rPr>
          <w:rFonts w:asciiTheme="minorHAnsi" w:hAnsiTheme="minorHAnsi" w:cstheme="minorHAnsi"/>
          <w:sz w:val="24"/>
          <w:szCs w:val="24"/>
        </w:rPr>
        <w:t xml:space="preserve">Per </w:t>
      </w:r>
      <w:r w:rsidR="00666ABC" w:rsidRPr="00B96DFA">
        <w:rPr>
          <w:rFonts w:asciiTheme="minorHAnsi" w:hAnsiTheme="minorHAnsi" w:cstheme="minorHAnsi"/>
          <w:sz w:val="24"/>
          <w:szCs w:val="24"/>
        </w:rPr>
        <w:t>N</w:t>
      </w:r>
      <w:r w:rsidRPr="00B96DFA">
        <w:rPr>
          <w:rFonts w:asciiTheme="minorHAnsi" w:hAnsiTheme="minorHAnsi" w:cstheme="minorHAnsi"/>
          <w:sz w:val="24"/>
          <w:szCs w:val="24"/>
        </w:rPr>
        <w:t>RS</w:t>
      </w:r>
      <w:r w:rsidR="00666ABC" w:rsidRPr="00B96DFA">
        <w:rPr>
          <w:rFonts w:asciiTheme="minorHAnsi" w:hAnsiTheme="minorHAnsi" w:cstheme="minorHAnsi"/>
          <w:sz w:val="24"/>
          <w:szCs w:val="24"/>
        </w:rPr>
        <w:t xml:space="preserve"> 439.5291</w:t>
      </w:r>
      <w:r w:rsidRPr="00B96DFA">
        <w:rPr>
          <w:rFonts w:asciiTheme="minorHAnsi" w:hAnsiTheme="minorHAnsi" w:cstheme="minorHAnsi"/>
          <w:sz w:val="24"/>
          <w:szCs w:val="24"/>
        </w:rPr>
        <w:t xml:space="preserve">, </w:t>
      </w:r>
      <w:r w:rsidR="00BE261D" w:rsidRPr="00B96DFA">
        <w:rPr>
          <w:rFonts w:asciiTheme="minorHAnsi" w:hAnsiTheme="minorHAnsi" w:cstheme="minorHAnsi"/>
          <w:sz w:val="24"/>
          <w:szCs w:val="24"/>
        </w:rPr>
        <w:t xml:space="preserve">the </w:t>
      </w:r>
      <w:r w:rsidR="00EB428C" w:rsidRPr="00B96DFA">
        <w:rPr>
          <w:rFonts w:asciiTheme="minorHAnsi" w:hAnsiTheme="minorHAnsi" w:cstheme="minorHAnsi"/>
          <w:sz w:val="24"/>
          <w:szCs w:val="24"/>
        </w:rPr>
        <w:t>DPBH</w:t>
      </w:r>
      <w:r w:rsidR="00BE261D" w:rsidRPr="00B96DFA">
        <w:rPr>
          <w:rFonts w:asciiTheme="minorHAnsi" w:hAnsiTheme="minorHAnsi" w:cstheme="minorHAnsi"/>
          <w:sz w:val="24"/>
          <w:szCs w:val="24"/>
        </w:rPr>
        <w:t xml:space="preserve"> is required to provide</w:t>
      </w:r>
      <w:r w:rsidR="009B4369" w:rsidRPr="00B96DFA">
        <w:rPr>
          <w:rFonts w:asciiTheme="minorHAnsi" w:hAnsiTheme="minorHAnsi" w:cstheme="minorHAnsi"/>
          <w:sz w:val="24"/>
          <w:szCs w:val="24"/>
        </w:rPr>
        <w:t xml:space="preserve"> “</w:t>
      </w:r>
      <w:r w:rsidR="007B7B5A" w:rsidRPr="00B96DFA">
        <w:rPr>
          <w:rFonts w:asciiTheme="minorHAnsi" w:hAnsiTheme="minorHAnsi" w:cstheme="minorHAnsi"/>
          <w:sz w:val="24"/>
          <w:szCs w:val="24"/>
        </w:rPr>
        <w:t>a</w:t>
      </w:r>
      <w:r w:rsidR="009B4369" w:rsidRPr="00B96DFA">
        <w:rPr>
          <w:rFonts w:asciiTheme="minorHAnsi" w:hAnsiTheme="minorHAnsi" w:cstheme="minorHAnsi"/>
          <w:sz w:val="24"/>
          <w:szCs w:val="24"/>
        </w:rPr>
        <w:t xml:space="preserve">ny recommendations for legislation to improve the quality of care provided to patients </w:t>
      </w:r>
      <w:r w:rsidR="00125331" w:rsidRPr="00B96DFA">
        <w:rPr>
          <w:rFonts w:asciiTheme="minorHAnsi" w:hAnsiTheme="minorHAnsi" w:cstheme="minorHAnsi"/>
          <w:sz w:val="24"/>
          <w:szCs w:val="24"/>
        </w:rPr>
        <w:t>who suffer from strokes in the s</w:t>
      </w:r>
      <w:r w:rsidR="009B4369" w:rsidRPr="00B96DFA">
        <w:rPr>
          <w:rFonts w:asciiTheme="minorHAnsi" w:hAnsiTheme="minorHAnsi" w:cstheme="minorHAnsi"/>
          <w:sz w:val="24"/>
          <w:szCs w:val="24"/>
        </w:rPr>
        <w:t xml:space="preserve">tate.” </w:t>
      </w:r>
    </w:p>
    <w:p w14:paraId="1299349E" w14:textId="77777777" w:rsidR="00B75D8E" w:rsidRPr="00B96DFA" w:rsidRDefault="00B75D8E" w:rsidP="00B96DFA">
      <w:pPr>
        <w:pStyle w:val="TextOPHIE"/>
        <w:spacing w:line="276" w:lineRule="auto"/>
        <w:jc w:val="both"/>
        <w:rPr>
          <w:rFonts w:asciiTheme="minorHAnsi" w:hAnsiTheme="minorHAnsi" w:cstheme="minorHAnsi"/>
          <w:sz w:val="24"/>
          <w:szCs w:val="24"/>
        </w:rPr>
      </w:pPr>
    </w:p>
    <w:p w14:paraId="1500AA41" w14:textId="77777777" w:rsidR="00B96DFA" w:rsidRPr="00B96DFA" w:rsidRDefault="00B96DFA" w:rsidP="00B96DFA">
      <w:pPr>
        <w:pStyle w:val="TextOPHIE"/>
        <w:spacing w:line="276" w:lineRule="auto"/>
        <w:jc w:val="both"/>
        <w:rPr>
          <w:rFonts w:asciiTheme="minorHAnsi" w:hAnsiTheme="minorHAnsi" w:cstheme="minorHAnsi"/>
          <w:sz w:val="24"/>
          <w:szCs w:val="24"/>
        </w:rPr>
      </w:pPr>
      <w:r w:rsidRPr="00B96DFA">
        <w:rPr>
          <w:rFonts w:asciiTheme="minorHAnsi" w:hAnsiTheme="minorHAnsi" w:cstheme="minorHAnsi"/>
          <w:sz w:val="24"/>
          <w:szCs w:val="24"/>
        </w:rPr>
        <w:t xml:space="preserve">DPBH does not recommend additional stroke quality improvement legislation at this time because access to comprehensive stroke data was recently attained. Limitations outlined in this report still need to be addressed. Future recommendations regarding additional stroke-related legislation will become available through increased utilization of the Nevada Stroke Registry. </w:t>
      </w:r>
    </w:p>
    <w:p w14:paraId="4662CC7A" w14:textId="77777777" w:rsidR="00514DD8" w:rsidRPr="00514DD8" w:rsidRDefault="00514DD8" w:rsidP="00B96DFA">
      <w:pPr>
        <w:pStyle w:val="TextOPHIE"/>
        <w:spacing w:line="276" w:lineRule="auto"/>
        <w:jc w:val="both"/>
        <w:rPr>
          <w:rFonts w:asciiTheme="minorHAnsi" w:hAnsiTheme="minorHAnsi" w:cstheme="minorHAnsi"/>
          <w:sz w:val="24"/>
          <w:szCs w:val="22"/>
        </w:rPr>
      </w:pPr>
    </w:p>
    <w:p w14:paraId="3981BC64" w14:textId="6846990D" w:rsidR="00A3198B" w:rsidRPr="006F3331" w:rsidRDefault="009754A9" w:rsidP="00514DD8">
      <w:pPr>
        <w:pStyle w:val="Heading1STD0"/>
        <w:spacing w:before="0" w:after="0" w:line="276" w:lineRule="auto"/>
        <w:rPr>
          <w:rFonts w:asciiTheme="minorHAnsi" w:hAnsiTheme="minorHAnsi" w:cstheme="minorHAnsi"/>
          <w:sz w:val="36"/>
          <w:szCs w:val="36"/>
        </w:rPr>
      </w:pPr>
      <w:r w:rsidRPr="006F3331">
        <w:rPr>
          <w:rFonts w:asciiTheme="minorHAnsi" w:hAnsiTheme="minorHAnsi" w:cstheme="minorHAnsi"/>
          <w:sz w:val="36"/>
          <w:szCs w:val="36"/>
        </w:rPr>
        <w:t>Report Conclusions</w:t>
      </w:r>
    </w:p>
    <w:p w14:paraId="388FA04D" w14:textId="77777777" w:rsidR="00B96DFA" w:rsidRPr="00B96DFA" w:rsidRDefault="00B96DFA" w:rsidP="00B96DFA">
      <w:pPr>
        <w:pStyle w:val="TextOPHIE"/>
        <w:spacing w:line="276" w:lineRule="auto"/>
        <w:jc w:val="both"/>
        <w:rPr>
          <w:rFonts w:asciiTheme="minorHAnsi" w:hAnsiTheme="minorHAnsi" w:cstheme="minorHAnsi"/>
          <w:sz w:val="24"/>
          <w:szCs w:val="24"/>
        </w:rPr>
      </w:pPr>
      <w:r w:rsidRPr="00B96DFA">
        <w:rPr>
          <w:rFonts w:asciiTheme="minorHAnsi" w:hAnsiTheme="minorHAnsi" w:cstheme="minorHAnsi"/>
          <w:sz w:val="24"/>
          <w:szCs w:val="24"/>
        </w:rPr>
        <w:t xml:space="preserve">Aggregate data collected in the Nevada Stroke Registry provides an opportunity to enhance stroke survivorship and reduce the burden and disability in Nevada through the identification of priority areas upon which to focus QI efforts. Aggregate data reporting allows participating hospitals the opportunity to identify and celebrate areas of success and optimal implementation of QI measures by displaying excellent performance measure outcomes. The results of the reported performance measures, along with the provided recommendations, are offered to address QI statewide, as opposed to at the level of the individual hospital. Efforts of the DPBH Heart Disease and Stroke Prevention Program, in collaboration with Nevada’s Heart Disease and Stroke Prevention Taskforce and the AHA/ASA, will need to align when addressing QI opportunities for promoting and implementing enhanced stroke prevention and care along the continuum of stroke prevention education, optimal stroke treatment, and post-stroke care, particularly regarding readmissions. </w:t>
      </w:r>
    </w:p>
    <w:p w14:paraId="7905690F" w14:textId="4AAD4D34" w:rsidR="00B96DFA" w:rsidRPr="00B96DFA" w:rsidRDefault="00B96DFA" w:rsidP="00B96DFA">
      <w:pPr>
        <w:pStyle w:val="TextOPHIE"/>
        <w:spacing w:line="276" w:lineRule="auto"/>
        <w:jc w:val="both"/>
        <w:rPr>
          <w:rFonts w:asciiTheme="minorHAnsi" w:hAnsiTheme="minorHAnsi" w:cstheme="minorHAnsi"/>
          <w:sz w:val="24"/>
          <w:szCs w:val="24"/>
        </w:rPr>
      </w:pPr>
    </w:p>
    <w:p w14:paraId="5F9C6267" w14:textId="77777777" w:rsidR="00B96DFA" w:rsidRPr="00B96DFA" w:rsidRDefault="00B96DFA" w:rsidP="00B96DFA">
      <w:pPr>
        <w:pStyle w:val="TextOPHIE"/>
        <w:spacing w:line="276" w:lineRule="auto"/>
        <w:jc w:val="both"/>
        <w:rPr>
          <w:rFonts w:asciiTheme="minorHAnsi" w:hAnsiTheme="minorHAnsi" w:cstheme="minorHAnsi"/>
          <w:sz w:val="24"/>
          <w:szCs w:val="24"/>
        </w:rPr>
      </w:pPr>
      <w:r w:rsidRPr="00B96DFA">
        <w:rPr>
          <w:rFonts w:asciiTheme="minorHAnsi" w:hAnsiTheme="minorHAnsi" w:cstheme="minorHAnsi"/>
          <w:sz w:val="24"/>
          <w:szCs w:val="24"/>
        </w:rPr>
        <w:t xml:space="preserve">Stroke prevention education needs to address the importance of widespread awareness of stroke signs/symptoms, high blood pressure and high cholesterol control (including medication adherence), smoking cessation, importance of physical activity and exercise, and diabetes control. Expanding stroke data collection efforts to include EMS and rural Critical Access Hospitals will allow for more complete regional representation independent of facility size and location. It is also important to promote the value of complete reporting and to encourage all 16 hospitals to opt-in to reporting individual data to the Nevada Stroke Registry by sharing permission so DPBH staff can view their individual GWTG data. </w:t>
      </w:r>
    </w:p>
    <w:p w14:paraId="0D77F04C" w14:textId="77777777" w:rsidR="00B96DFA" w:rsidRPr="00B96DFA" w:rsidRDefault="00B96DFA" w:rsidP="00B96DFA">
      <w:pPr>
        <w:pStyle w:val="TextOPHIE"/>
        <w:spacing w:line="276" w:lineRule="auto"/>
        <w:jc w:val="both"/>
        <w:rPr>
          <w:rFonts w:asciiTheme="minorHAnsi" w:hAnsiTheme="minorHAnsi" w:cstheme="minorHAnsi"/>
          <w:sz w:val="24"/>
          <w:szCs w:val="24"/>
        </w:rPr>
      </w:pPr>
    </w:p>
    <w:p w14:paraId="4D4A5625" w14:textId="77777777" w:rsidR="00B96DFA" w:rsidRPr="00B96DFA" w:rsidRDefault="00B96DFA" w:rsidP="00B96DFA">
      <w:pPr>
        <w:pStyle w:val="TextOPHIE"/>
        <w:spacing w:line="276" w:lineRule="auto"/>
        <w:jc w:val="both"/>
        <w:rPr>
          <w:rFonts w:asciiTheme="minorHAnsi" w:hAnsiTheme="minorHAnsi" w:cstheme="minorHAnsi"/>
          <w:sz w:val="24"/>
          <w:szCs w:val="24"/>
        </w:rPr>
      </w:pPr>
      <w:r w:rsidRPr="00B96DFA">
        <w:rPr>
          <w:rFonts w:asciiTheme="minorHAnsi" w:hAnsiTheme="minorHAnsi" w:cstheme="minorHAnsi"/>
          <w:sz w:val="24"/>
          <w:szCs w:val="24"/>
        </w:rPr>
        <w:t xml:space="preserve">Increased stroke education efforts, particularly in relation to the disparity in stroke burden and the lowest-scoring performance measure (dysphagia screening), need to be deployed to all stroke stakeholders working in concert to leverage resources and scope of impact. Closing the circle for seamless information flow from stroke education to stroke transit and hospital care to post-discharge care will be key to implementing QI at the health systems level statewide. This will ensure each Nevadan has the optimal experience to enhance survival and decrease disability burden in case of stroke. </w:t>
      </w:r>
    </w:p>
    <w:p w14:paraId="6E410C5C" w14:textId="1758F378" w:rsidR="009C612D" w:rsidRPr="00EB70C1" w:rsidRDefault="009C612D">
      <w:pPr>
        <w:rPr>
          <w:rFonts w:cstheme="minorHAnsi"/>
        </w:rPr>
      </w:pPr>
      <w:r w:rsidRPr="00EB70C1">
        <w:rPr>
          <w:rFonts w:cstheme="minorHAnsi"/>
        </w:rPr>
        <w:br w:type="page"/>
      </w:r>
    </w:p>
    <w:p w14:paraId="4A81128B" w14:textId="4D757C1F" w:rsidR="003B228B" w:rsidRPr="002D275F" w:rsidRDefault="009C612D" w:rsidP="00840F49">
      <w:pPr>
        <w:pStyle w:val="HeadingOPHIE"/>
        <w:spacing w:before="0" w:after="0"/>
        <w:rPr>
          <w:rFonts w:asciiTheme="minorHAnsi" w:hAnsiTheme="minorHAnsi" w:cstheme="minorHAnsi"/>
          <w:sz w:val="32"/>
          <w:szCs w:val="32"/>
          <w:vertAlign w:val="superscript"/>
        </w:rPr>
      </w:pPr>
      <w:r w:rsidRPr="000A42BA">
        <w:rPr>
          <w:rFonts w:asciiTheme="minorHAnsi" w:hAnsiTheme="minorHAnsi" w:cstheme="minorHAnsi"/>
          <w:color w:val="auto"/>
          <w:sz w:val="36"/>
          <w:szCs w:val="36"/>
        </w:rPr>
        <w:lastRenderedPageBreak/>
        <w:t>Definitions</w:t>
      </w:r>
      <w:r w:rsidR="002D275F">
        <w:rPr>
          <w:rFonts w:asciiTheme="minorHAnsi" w:hAnsiTheme="minorHAnsi" w:cstheme="minorHAnsi"/>
          <w:color w:val="auto"/>
          <w:sz w:val="36"/>
          <w:szCs w:val="36"/>
        </w:rPr>
        <w:t xml:space="preserve"> and Performance Measures </w:t>
      </w:r>
      <w:r w:rsidR="002D275F">
        <w:rPr>
          <w:rFonts w:asciiTheme="minorHAnsi" w:hAnsiTheme="minorHAnsi" w:cstheme="minorHAnsi"/>
          <w:color w:val="auto"/>
          <w:sz w:val="36"/>
          <w:szCs w:val="36"/>
          <w:vertAlign w:val="superscript"/>
        </w:rPr>
        <w:t>7</w:t>
      </w:r>
    </w:p>
    <w:p w14:paraId="2904B8EA" w14:textId="77777777" w:rsidR="002D275F" w:rsidRDefault="002D275F" w:rsidP="002D275F">
      <w:pPr>
        <w:pStyle w:val="NoSpacing"/>
        <w:jc w:val="both"/>
        <w:rPr>
          <w:b/>
          <w:bCs/>
          <w:color w:val="255E91"/>
          <w:sz w:val="24"/>
          <w:szCs w:val="24"/>
        </w:rPr>
        <w:sectPr w:rsidR="002D275F" w:rsidSect="00A7020D">
          <w:type w:val="continuous"/>
          <w:pgSz w:w="12240" w:h="15840"/>
          <w:pgMar w:top="720" w:right="720" w:bottom="720" w:left="720" w:header="432" w:footer="432" w:gutter="0"/>
          <w:pgNumType w:start="1"/>
          <w:cols w:space="720"/>
          <w:docGrid w:linePitch="360"/>
        </w:sectPr>
      </w:pPr>
    </w:p>
    <w:p w14:paraId="70A89F8B" w14:textId="09309D07" w:rsidR="002D275F" w:rsidRPr="00AB3AF8" w:rsidRDefault="002D275F" w:rsidP="002D275F">
      <w:pPr>
        <w:pStyle w:val="NoSpacing"/>
        <w:jc w:val="both"/>
        <w:rPr>
          <w:b/>
          <w:sz w:val="24"/>
          <w:szCs w:val="24"/>
        </w:rPr>
      </w:pPr>
      <w:r w:rsidRPr="00281A42">
        <w:rPr>
          <w:b/>
          <w:bCs/>
          <w:color w:val="255E91"/>
          <w:sz w:val="24"/>
          <w:szCs w:val="24"/>
        </w:rPr>
        <w:t>Activation of Emergency Medical Systems:</w:t>
      </w:r>
      <w:r w:rsidRPr="00281A42">
        <w:rPr>
          <w:color w:val="255E91"/>
          <w:sz w:val="24"/>
          <w:szCs w:val="24"/>
        </w:rPr>
        <w:t xml:space="preserve"> </w:t>
      </w:r>
      <w:r w:rsidRPr="00AB3AF8">
        <w:rPr>
          <w:sz w:val="24"/>
          <w:szCs w:val="24"/>
        </w:rPr>
        <w:t>If a patient experiences one or more signs/symptoms of a stroke, they should immediately call 9-1-1 and activate the emergency response system. Early access to advanced care and early definitive interventions are imperative for the best possible patient outcomes. Patients should arrive at the nearest appropriate acute care facility within one hour of the onset of signs and symptoms.</w:t>
      </w:r>
    </w:p>
    <w:p w14:paraId="0FFD9BD3" w14:textId="77777777" w:rsidR="002D275F" w:rsidRDefault="002D275F" w:rsidP="002D275F">
      <w:pPr>
        <w:pStyle w:val="NoSpacing"/>
        <w:jc w:val="both"/>
        <w:rPr>
          <w:sz w:val="24"/>
          <w:szCs w:val="24"/>
        </w:rPr>
      </w:pPr>
      <w:r w:rsidRPr="00281A42">
        <w:rPr>
          <w:b/>
          <w:bCs/>
          <w:color w:val="255E91"/>
          <w:sz w:val="24"/>
          <w:szCs w:val="24"/>
        </w:rPr>
        <w:t>Anticoagulants:</w:t>
      </w:r>
      <w:r w:rsidRPr="00AB3AF8">
        <w:rPr>
          <w:color w:val="255E91"/>
          <w:sz w:val="24"/>
          <w:szCs w:val="24"/>
        </w:rPr>
        <w:t xml:space="preserve"> </w:t>
      </w:r>
      <w:r w:rsidRPr="00AB3AF8">
        <w:rPr>
          <w:sz w:val="24"/>
          <w:szCs w:val="24"/>
        </w:rPr>
        <w:t>drugs that slow the clotting process in the blood preventing blood clots from forming.</w:t>
      </w:r>
    </w:p>
    <w:p w14:paraId="0F4F98BD" w14:textId="77777777" w:rsidR="002D275F" w:rsidRPr="00AB3AF8" w:rsidRDefault="002D275F" w:rsidP="002D275F">
      <w:pPr>
        <w:pStyle w:val="NoSpacing"/>
        <w:jc w:val="both"/>
        <w:rPr>
          <w:sz w:val="24"/>
          <w:szCs w:val="24"/>
        </w:rPr>
      </w:pPr>
      <w:r w:rsidRPr="00281A42">
        <w:rPr>
          <w:b/>
          <w:bCs/>
          <w:color w:val="255E91"/>
          <w:sz w:val="24"/>
          <w:szCs w:val="24"/>
        </w:rPr>
        <w:t>Anticoagulation for Atrial Fibrillation:</w:t>
      </w:r>
      <w:r w:rsidRPr="00281A42">
        <w:rPr>
          <w:color w:val="255E91"/>
          <w:sz w:val="24"/>
          <w:szCs w:val="24"/>
        </w:rPr>
        <w:t xml:space="preserve"> </w:t>
      </w:r>
      <w:r w:rsidRPr="00AB3AF8">
        <w:rPr>
          <w:sz w:val="24"/>
          <w:szCs w:val="24"/>
        </w:rPr>
        <w:t>percentage of patients with an ischemic stroke or TIA also presenting with atrial fibrillation and/or atrial flutter who are discharged on anticoagulation therapy (medication that prevents clotting).</w:t>
      </w:r>
    </w:p>
    <w:p w14:paraId="7BA34F24" w14:textId="77777777" w:rsidR="002D275F" w:rsidRPr="00AB3AF8" w:rsidRDefault="002D275F" w:rsidP="002D275F">
      <w:pPr>
        <w:pStyle w:val="NoSpacing"/>
        <w:jc w:val="both"/>
        <w:rPr>
          <w:sz w:val="24"/>
          <w:szCs w:val="24"/>
        </w:rPr>
      </w:pPr>
      <w:proofErr w:type="spellStart"/>
      <w:r w:rsidRPr="00281A42">
        <w:rPr>
          <w:b/>
          <w:bCs/>
          <w:color w:val="255E91"/>
          <w:sz w:val="24"/>
          <w:szCs w:val="24"/>
        </w:rPr>
        <w:t>Antithrombotics</w:t>
      </w:r>
      <w:proofErr w:type="spellEnd"/>
      <w:r w:rsidRPr="00281A42">
        <w:rPr>
          <w:b/>
          <w:bCs/>
          <w:color w:val="255E91"/>
          <w:sz w:val="24"/>
          <w:szCs w:val="24"/>
        </w:rPr>
        <w:t xml:space="preserve"> at discharge:</w:t>
      </w:r>
      <w:r w:rsidRPr="00281A42">
        <w:rPr>
          <w:color w:val="255E91"/>
          <w:sz w:val="24"/>
          <w:szCs w:val="24"/>
        </w:rPr>
        <w:t xml:space="preserve"> </w:t>
      </w:r>
      <w:r w:rsidRPr="00AB3AF8">
        <w:rPr>
          <w:sz w:val="24"/>
          <w:szCs w:val="24"/>
        </w:rPr>
        <w:t>percentage of ischemic stroke or TIA patients prescribed antithrombic medications (prophylactics that prevent clot formation) at discharge.</w:t>
      </w:r>
    </w:p>
    <w:p w14:paraId="43201908" w14:textId="77777777" w:rsidR="002D275F" w:rsidRPr="00AB3AF8" w:rsidRDefault="002D275F" w:rsidP="002D275F">
      <w:pPr>
        <w:pStyle w:val="NoSpacing"/>
        <w:jc w:val="both"/>
        <w:rPr>
          <w:sz w:val="24"/>
          <w:szCs w:val="24"/>
        </w:rPr>
      </w:pPr>
      <w:r w:rsidRPr="00281A42">
        <w:rPr>
          <w:b/>
          <w:bCs/>
          <w:color w:val="255E91"/>
          <w:sz w:val="24"/>
          <w:szCs w:val="24"/>
        </w:rPr>
        <w:t>Atrial Fibrillation:</w:t>
      </w:r>
      <w:r w:rsidRPr="00AB3AF8">
        <w:rPr>
          <w:color w:val="255E91"/>
          <w:sz w:val="24"/>
          <w:szCs w:val="24"/>
        </w:rPr>
        <w:t xml:space="preserve"> </w:t>
      </w:r>
      <w:r w:rsidRPr="00AB3AF8">
        <w:rPr>
          <w:sz w:val="24"/>
          <w:szCs w:val="24"/>
        </w:rPr>
        <w:t>an irregular heartbeat (or arrhythmia) that may result in blood clots, stroke, heart failure, and other heart-related complications.</w:t>
      </w:r>
    </w:p>
    <w:p w14:paraId="416D129C" w14:textId="77777777" w:rsidR="002D275F" w:rsidRPr="00AB3AF8" w:rsidRDefault="002D275F" w:rsidP="002D275F">
      <w:pPr>
        <w:pStyle w:val="NoSpacing"/>
        <w:jc w:val="both"/>
        <w:rPr>
          <w:sz w:val="24"/>
          <w:szCs w:val="24"/>
        </w:rPr>
      </w:pPr>
      <w:r w:rsidRPr="00281A42">
        <w:rPr>
          <w:b/>
          <w:bCs/>
          <w:color w:val="255E91"/>
          <w:sz w:val="24"/>
          <w:szCs w:val="24"/>
        </w:rPr>
        <w:t>Atrial Flutter:</w:t>
      </w:r>
      <w:r w:rsidRPr="00281A42">
        <w:rPr>
          <w:color w:val="255E91"/>
          <w:sz w:val="24"/>
          <w:szCs w:val="24"/>
        </w:rPr>
        <w:t xml:space="preserve"> </w:t>
      </w:r>
      <w:r w:rsidRPr="00AB3AF8">
        <w:rPr>
          <w:sz w:val="24"/>
          <w:szCs w:val="24"/>
        </w:rPr>
        <w:t>arrhythmia due to problems with the electrical system of the heart originating in the atria.</w:t>
      </w:r>
    </w:p>
    <w:p w14:paraId="106FC830" w14:textId="77777777" w:rsidR="002D275F" w:rsidRPr="00AB3AF8" w:rsidRDefault="002D275F" w:rsidP="002D275F">
      <w:pPr>
        <w:pStyle w:val="NoSpacing"/>
        <w:jc w:val="both"/>
        <w:rPr>
          <w:sz w:val="24"/>
          <w:szCs w:val="24"/>
        </w:rPr>
      </w:pPr>
      <w:r w:rsidRPr="00AB3AF8">
        <w:rPr>
          <w:b/>
          <w:bCs/>
          <w:color w:val="255E91"/>
          <w:sz w:val="24"/>
          <w:szCs w:val="24"/>
        </w:rPr>
        <w:t>Cephalgia:</w:t>
      </w:r>
      <w:r w:rsidRPr="00AB3AF8">
        <w:rPr>
          <w:color w:val="255E91"/>
          <w:sz w:val="24"/>
          <w:szCs w:val="24"/>
        </w:rPr>
        <w:t xml:space="preserve"> </w:t>
      </w:r>
      <w:r w:rsidRPr="00AB3AF8">
        <w:rPr>
          <w:sz w:val="24"/>
          <w:szCs w:val="24"/>
        </w:rPr>
        <w:t>sudden onset of severe headache or pain. Often described as the worst “headache” of the patient’s life.</w:t>
      </w:r>
    </w:p>
    <w:p w14:paraId="2B5F80ED" w14:textId="77777777" w:rsidR="002D275F" w:rsidRPr="00AB3AF8" w:rsidRDefault="002D275F" w:rsidP="002D275F">
      <w:pPr>
        <w:pStyle w:val="NoSpacing"/>
        <w:jc w:val="both"/>
        <w:rPr>
          <w:sz w:val="24"/>
          <w:szCs w:val="24"/>
        </w:rPr>
      </w:pPr>
      <w:r w:rsidRPr="00281A42">
        <w:rPr>
          <w:b/>
          <w:bCs/>
          <w:color w:val="255E91"/>
          <w:sz w:val="24"/>
          <w:szCs w:val="24"/>
        </w:rPr>
        <w:t>Cerebrovascular event:</w:t>
      </w:r>
      <w:r w:rsidRPr="00281A42">
        <w:rPr>
          <w:color w:val="255E91"/>
          <w:sz w:val="24"/>
          <w:szCs w:val="24"/>
        </w:rPr>
        <w:t xml:space="preserve"> </w:t>
      </w:r>
      <w:r w:rsidRPr="00AB3AF8">
        <w:rPr>
          <w:sz w:val="24"/>
          <w:szCs w:val="24"/>
        </w:rPr>
        <w:t>a clinical syndrome caused by disruption of blood supply to the brain, characterized by rapidly developing signs of focal or global disturbance of cerebral functions, lasting for more than 24 hours or leading to death. A transient ischemic attack (TIA) refers to a similar presentation that resolves within 24 hours.</w:t>
      </w:r>
    </w:p>
    <w:p w14:paraId="09E1D360" w14:textId="77777777" w:rsidR="002D275F" w:rsidRPr="00AB3AF8" w:rsidRDefault="002D275F" w:rsidP="002D275F">
      <w:pPr>
        <w:pStyle w:val="NoSpacing"/>
        <w:jc w:val="both"/>
        <w:rPr>
          <w:sz w:val="24"/>
          <w:szCs w:val="24"/>
        </w:rPr>
      </w:pPr>
      <w:r w:rsidRPr="00CC4484">
        <w:rPr>
          <w:b/>
          <w:bCs/>
          <w:color w:val="255E91"/>
          <w:sz w:val="24"/>
          <w:szCs w:val="24"/>
        </w:rPr>
        <w:t>Difficulty ambulating</w:t>
      </w:r>
      <w:r w:rsidRPr="00CC4484">
        <w:rPr>
          <w:color w:val="255E91"/>
          <w:sz w:val="24"/>
          <w:szCs w:val="24"/>
        </w:rPr>
        <w:t xml:space="preserve">: </w:t>
      </w:r>
      <w:r w:rsidRPr="00AB3AF8">
        <w:rPr>
          <w:sz w:val="24"/>
          <w:szCs w:val="24"/>
        </w:rPr>
        <w:t>acute onset of stroke often leaves patients unable to walk due to hemiparesis, with a loss of coordination, or leaves them with an unsteady gait, increasing the risk of falls.</w:t>
      </w:r>
    </w:p>
    <w:p w14:paraId="3776C418" w14:textId="77777777" w:rsidR="002D275F" w:rsidRPr="00AB3AF8" w:rsidRDefault="002D275F" w:rsidP="002D275F">
      <w:pPr>
        <w:pStyle w:val="NoSpacing"/>
        <w:jc w:val="both"/>
        <w:rPr>
          <w:sz w:val="24"/>
          <w:szCs w:val="24"/>
        </w:rPr>
      </w:pPr>
      <w:r w:rsidRPr="00281A42">
        <w:rPr>
          <w:b/>
          <w:bCs/>
          <w:color w:val="255E91"/>
          <w:sz w:val="24"/>
          <w:szCs w:val="24"/>
        </w:rPr>
        <w:t>Dysphagia Screening:</w:t>
      </w:r>
      <w:r w:rsidRPr="00281A42">
        <w:rPr>
          <w:color w:val="255E91"/>
          <w:sz w:val="24"/>
          <w:szCs w:val="24"/>
        </w:rPr>
        <w:t xml:space="preserve"> </w:t>
      </w:r>
      <w:r w:rsidRPr="00AB3AF8">
        <w:rPr>
          <w:sz w:val="24"/>
          <w:szCs w:val="24"/>
        </w:rPr>
        <w:t>percentage of patients screened for dysphagia (difficulty swallowing), using evidence-based protocol, before allowing any foods, fluids, and/or medications orally.</w:t>
      </w:r>
    </w:p>
    <w:p w14:paraId="624DABBA" w14:textId="77777777" w:rsidR="002D275F" w:rsidRPr="00AB3AF8" w:rsidRDefault="002D275F" w:rsidP="002D275F">
      <w:pPr>
        <w:pStyle w:val="NoSpacing"/>
        <w:jc w:val="both"/>
        <w:rPr>
          <w:sz w:val="24"/>
          <w:szCs w:val="24"/>
        </w:rPr>
      </w:pPr>
      <w:r w:rsidRPr="00CC4484">
        <w:rPr>
          <w:b/>
          <w:bCs/>
          <w:color w:val="255E91"/>
          <w:sz w:val="24"/>
          <w:szCs w:val="24"/>
        </w:rPr>
        <w:t>Dysphagia</w:t>
      </w:r>
      <w:r w:rsidRPr="00CC4484">
        <w:rPr>
          <w:color w:val="255E91"/>
          <w:sz w:val="24"/>
          <w:szCs w:val="24"/>
        </w:rPr>
        <w:t xml:space="preserve">: </w:t>
      </w:r>
      <w:r w:rsidRPr="00AB3AF8">
        <w:rPr>
          <w:sz w:val="24"/>
          <w:szCs w:val="24"/>
        </w:rPr>
        <w:t>(difficulty swallowing) patients may suddenly lose the ability to swallow, feel like they are choking, and/or feel as if something is lodged in their throat.</w:t>
      </w:r>
    </w:p>
    <w:p w14:paraId="58C1E4B2" w14:textId="77777777" w:rsidR="002D275F" w:rsidRPr="00AB3AF8" w:rsidRDefault="002D275F" w:rsidP="002D275F">
      <w:pPr>
        <w:pStyle w:val="NoSpacing"/>
        <w:jc w:val="both"/>
        <w:rPr>
          <w:sz w:val="24"/>
          <w:szCs w:val="24"/>
        </w:rPr>
      </w:pPr>
      <w:r w:rsidRPr="00281A42">
        <w:rPr>
          <w:b/>
          <w:bCs/>
          <w:color w:val="255E91"/>
          <w:sz w:val="24"/>
          <w:szCs w:val="24"/>
        </w:rPr>
        <w:t xml:space="preserve">Early </w:t>
      </w:r>
      <w:proofErr w:type="spellStart"/>
      <w:r w:rsidRPr="00281A42">
        <w:rPr>
          <w:b/>
          <w:bCs/>
          <w:color w:val="255E91"/>
          <w:sz w:val="24"/>
          <w:szCs w:val="24"/>
        </w:rPr>
        <w:t>Antithrombotics</w:t>
      </w:r>
      <w:proofErr w:type="spellEnd"/>
      <w:r w:rsidRPr="00281A42">
        <w:rPr>
          <w:b/>
          <w:bCs/>
          <w:color w:val="255E91"/>
          <w:sz w:val="24"/>
          <w:szCs w:val="24"/>
        </w:rPr>
        <w:t>:</w:t>
      </w:r>
      <w:r w:rsidRPr="00281A42">
        <w:rPr>
          <w:color w:val="255E91"/>
          <w:sz w:val="24"/>
          <w:szCs w:val="24"/>
        </w:rPr>
        <w:t xml:space="preserve"> </w:t>
      </w:r>
      <w:r w:rsidRPr="00AB3AF8">
        <w:rPr>
          <w:sz w:val="24"/>
          <w:szCs w:val="24"/>
        </w:rPr>
        <w:t>percentage of stroke or TIA patients who have received antithrombotic therapy by the end of admission day two.</w:t>
      </w:r>
    </w:p>
    <w:p w14:paraId="216F709C" w14:textId="77777777" w:rsidR="002D275F" w:rsidRPr="00AB3AF8" w:rsidRDefault="002D275F" w:rsidP="002D275F">
      <w:pPr>
        <w:pStyle w:val="NoSpacing"/>
        <w:jc w:val="both"/>
        <w:rPr>
          <w:color w:val="255E91"/>
          <w:sz w:val="24"/>
          <w:szCs w:val="24"/>
        </w:rPr>
      </w:pPr>
      <w:r w:rsidRPr="00281A42">
        <w:rPr>
          <w:b/>
          <w:bCs/>
          <w:color w:val="255E91"/>
          <w:sz w:val="24"/>
          <w:szCs w:val="24"/>
        </w:rPr>
        <w:t>Elective Carotid Intervention Only</w:t>
      </w:r>
      <w:r w:rsidRPr="00AB3AF8">
        <w:rPr>
          <w:b/>
          <w:bCs/>
          <w:color w:val="255E91"/>
          <w:sz w:val="24"/>
          <w:szCs w:val="24"/>
        </w:rPr>
        <w:t>:</w:t>
      </w:r>
      <w:r w:rsidRPr="00AB3AF8">
        <w:rPr>
          <w:color w:val="255E91"/>
          <w:sz w:val="24"/>
          <w:szCs w:val="24"/>
        </w:rPr>
        <w:t xml:space="preserve"> </w:t>
      </w:r>
      <w:r w:rsidRPr="00AB3AF8">
        <w:rPr>
          <w:sz w:val="24"/>
          <w:szCs w:val="24"/>
        </w:rPr>
        <w:t xml:space="preserve">elective definitive interventions include elective carotid endarterectomy, angioplasty, and carotid stenting. </w:t>
      </w:r>
    </w:p>
    <w:p w14:paraId="4B3FD262" w14:textId="77777777" w:rsidR="002D275F" w:rsidRDefault="002D275F" w:rsidP="002D275F">
      <w:pPr>
        <w:pStyle w:val="NoSpacing"/>
        <w:jc w:val="both"/>
        <w:rPr>
          <w:b/>
          <w:bCs/>
          <w:color w:val="255E91"/>
          <w:sz w:val="24"/>
          <w:szCs w:val="24"/>
        </w:rPr>
      </w:pPr>
      <w:r w:rsidRPr="00CC4484">
        <w:rPr>
          <w:b/>
          <w:bCs/>
          <w:color w:val="255E91"/>
          <w:sz w:val="24"/>
          <w:szCs w:val="24"/>
        </w:rPr>
        <w:t>Facial Droop:</w:t>
      </w:r>
      <w:r w:rsidRPr="00CC4484">
        <w:rPr>
          <w:color w:val="255E91"/>
          <w:sz w:val="24"/>
          <w:szCs w:val="24"/>
        </w:rPr>
        <w:t xml:space="preserve"> </w:t>
      </w:r>
      <w:r w:rsidRPr="00AB3AF8">
        <w:rPr>
          <w:sz w:val="24"/>
          <w:szCs w:val="24"/>
        </w:rPr>
        <w:t>patients develop a sudden onset of facial numbness or droop. This often happens to only one side of the face and can be accompanied by slurred speech or difficulty speaking.</w:t>
      </w:r>
      <w:r w:rsidRPr="00B61178">
        <w:rPr>
          <w:b/>
          <w:bCs/>
          <w:color w:val="255E91"/>
          <w:sz w:val="24"/>
          <w:szCs w:val="24"/>
        </w:rPr>
        <w:t xml:space="preserve"> </w:t>
      </w:r>
    </w:p>
    <w:p w14:paraId="6A76DEE7" w14:textId="77777777" w:rsidR="002D275F" w:rsidRPr="00AB3AF8" w:rsidRDefault="002D275F" w:rsidP="002D275F">
      <w:pPr>
        <w:pStyle w:val="NoSpacing"/>
        <w:jc w:val="both"/>
        <w:rPr>
          <w:b/>
          <w:sz w:val="24"/>
          <w:szCs w:val="24"/>
        </w:rPr>
      </w:pPr>
      <w:r w:rsidRPr="00281A42">
        <w:rPr>
          <w:b/>
          <w:bCs/>
          <w:color w:val="255E91"/>
          <w:sz w:val="24"/>
          <w:szCs w:val="24"/>
        </w:rPr>
        <w:t>Follow-up Care:</w:t>
      </w:r>
      <w:r w:rsidRPr="00281A42">
        <w:rPr>
          <w:color w:val="255E91"/>
          <w:sz w:val="24"/>
          <w:szCs w:val="24"/>
        </w:rPr>
        <w:t xml:space="preserve"> </w:t>
      </w:r>
      <w:r w:rsidRPr="00AB3AF8">
        <w:rPr>
          <w:sz w:val="24"/>
          <w:szCs w:val="24"/>
        </w:rPr>
        <w:t>Patients who have suffered a stroke are at higher risk for suffering additional strokes. Stroke Care Teams at each hospital should develop a post-discharge care plan for patients, including follow-up primary care visits, medication regimens, physical therapy, occupational therapy, and other services including support groups.</w:t>
      </w:r>
    </w:p>
    <w:p w14:paraId="6D5233EF" w14:textId="77777777" w:rsidR="002D275F" w:rsidRPr="00AB3AF8" w:rsidRDefault="002D275F" w:rsidP="002D275F">
      <w:pPr>
        <w:pStyle w:val="NoSpacing"/>
        <w:jc w:val="both"/>
        <w:rPr>
          <w:sz w:val="24"/>
          <w:szCs w:val="24"/>
        </w:rPr>
      </w:pPr>
      <w:r w:rsidRPr="00CC4484">
        <w:rPr>
          <w:b/>
          <w:bCs/>
          <w:color w:val="255E91"/>
          <w:sz w:val="24"/>
          <w:szCs w:val="24"/>
        </w:rPr>
        <w:t>Hemiparesis or hemiplegia</w:t>
      </w:r>
      <w:r w:rsidRPr="00CC4484">
        <w:rPr>
          <w:color w:val="255E91"/>
          <w:sz w:val="24"/>
          <w:szCs w:val="24"/>
        </w:rPr>
        <w:t xml:space="preserve">: </w:t>
      </w:r>
      <w:r w:rsidRPr="00AB3AF8">
        <w:rPr>
          <w:sz w:val="24"/>
          <w:szCs w:val="24"/>
        </w:rPr>
        <w:t>sudden onset of one-sided weakness and/or movement, usually beginning in the face and associated side of the body.</w:t>
      </w:r>
    </w:p>
    <w:p w14:paraId="059F46DF" w14:textId="77777777" w:rsidR="002D275F" w:rsidRPr="00AB3AF8" w:rsidRDefault="002D275F" w:rsidP="002D275F">
      <w:pPr>
        <w:pStyle w:val="NoSpacing"/>
        <w:jc w:val="both"/>
        <w:rPr>
          <w:sz w:val="24"/>
          <w:szCs w:val="24"/>
        </w:rPr>
      </w:pPr>
      <w:r w:rsidRPr="00281A42">
        <w:rPr>
          <w:b/>
          <w:bCs/>
          <w:color w:val="255E91"/>
          <w:sz w:val="24"/>
          <w:szCs w:val="24"/>
        </w:rPr>
        <w:t>Intracerebral Hemorrhage (ICH):</w:t>
      </w:r>
      <w:r w:rsidRPr="00281A42">
        <w:rPr>
          <w:color w:val="255E91"/>
          <w:sz w:val="24"/>
          <w:szCs w:val="24"/>
        </w:rPr>
        <w:t xml:space="preserve"> </w:t>
      </w:r>
      <w:r w:rsidRPr="00AB3AF8">
        <w:rPr>
          <w:sz w:val="24"/>
          <w:szCs w:val="24"/>
        </w:rPr>
        <w:t>occurs when a blood vessel within the brain ruptures, allowing blood to leak inside the brain.</w:t>
      </w:r>
    </w:p>
    <w:p w14:paraId="4A6E93FB" w14:textId="77777777" w:rsidR="002D275F" w:rsidRPr="00AB3AF8" w:rsidRDefault="002D275F" w:rsidP="002D275F">
      <w:pPr>
        <w:pStyle w:val="NoSpacing"/>
        <w:jc w:val="both"/>
        <w:rPr>
          <w:sz w:val="24"/>
          <w:szCs w:val="24"/>
        </w:rPr>
      </w:pPr>
      <w:r w:rsidRPr="00281A42">
        <w:rPr>
          <w:b/>
          <w:bCs/>
          <w:color w:val="255E91"/>
          <w:sz w:val="24"/>
          <w:szCs w:val="24"/>
        </w:rPr>
        <w:t>Ischemic Stroke (IS):</w:t>
      </w:r>
      <w:r w:rsidRPr="00281A42">
        <w:rPr>
          <w:color w:val="255E91"/>
          <w:sz w:val="24"/>
          <w:szCs w:val="24"/>
        </w:rPr>
        <w:t xml:space="preserve"> </w:t>
      </w:r>
      <w:r w:rsidRPr="00AB3AF8">
        <w:rPr>
          <w:sz w:val="24"/>
          <w:szCs w:val="24"/>
        </w:rPr>
        <w:t>occurs when an artery to the brain is blocked resulting in inadequate blood supply and oxygen.</w:t>
      </w:r>
    </w:p>
    <w:p w14:paraId="0F2FDC27" w14:textId="77777777" w:rsidR="002D275F" w:rsidRPr="00AB3AF8" w:rsidRDefault="002D275F" w:rsidP="002D275F">
      <w:pPr>
        <w:pStyle w:val="NoSpacing"/>
        <w:jc w:val="both"/>
        <w:rPr>
          <w:sz w:val="24"/>
          <w:szCs w:val="24"/>
        </w:rPr>
      </w:pPr>
      <w:r w:rsidRPr="00281A42">
        <w:rPr>
          <w:b/>
          <w:bCs/>
          <w:color w:val="255E91"/>
          <w:sz w:val="24"/>
          <w:szCs w:val="24"/>
        </w:rPr>
        <w:t>IV rt-Tissue Plasminogen Activator (t-PA):</w:t>
      </w:r>
      <w:r w:rsidRPr="00281A42">
        <w:rPr>
          <w:color w:val="255E91"/>
          <w:sz w:val="24"/>
          <w:szCs w:val="24"/>
        </w:rPr>
        <w:t xml:space="preserve"> </w:t>
      </w:r>
      <w:r w:rsidRPr="00AB3AF8">
        <w:rPr>
          <w:sz w:val="24"/>
          <w:szCs w:val="24"/>
        </w:rPr>
        <w:t>percentage of ischemic stroke patients who arrived at the hospital within two hours of their last known stroke event and received tissue plasminogen activator to dissolve clots and improve blood flow within three hours of last known stroke event.</w:t>
      </w:r>
    </w:p>
    <w:p w14:paraId="3A1D8116" w14:textId="77777777" w:rsidR="002D275F" w:rsidRPr="00AB3AF8" w:rsidRDefault="002D275F" w:rsidP="002D275F">
      <w:pPr>
        <w:pStyle w:val="NoSpacing"/>
        <w:jc w:val="both"/>
        <w:rPr>
          <w:sz w:val="24"/>
          <w:szCs w:val="24"/>
        </w:rPr>
      </w:pPr>
      <w:r w:rsidRPr="00281A42">
        <w:rPr>
          <w:b/>
          <w:bCs/>
          <w:color w:val="255E91"/>
          <w:sz w:val="24"/>
          <w:szCs w:val="24"/>
        </w:rPr>
        <w:t>Low Density Lipoprotein (LDL):</w:t>
      </w:r>
      <w:r w:rsidRPr="00281A42">
        <w:rPr>
          <w:color w:val="255E91"/>
          <w:sz w:val="24"/>
          <w:szCs w:val="24"/>
        </w:rPr>
        <w:t xml:space="preserve"> </w:t>
      </w:r>
      <w:r w:rsidRPr="00AB3AF8">
        <w:rPr>
          <w:sz w:val="24"/>
          <w:szCs w:val="24"/>
        </w:rPr>
        <w:t>percentage of patients with LDL levels ≥ 100, or not measured, or on cholesterol-reducer prior to admission, who are discharged on statin medication (cholesterol-reducing drugs).</w:t>
      </w:r>
    </w:p>
    <w:p w14:paraId="18EDF652" w14:textId="77777777" w:rsidR="002D275F" w:rsidRPr="00AB3AF8" w:rsidRDefault="002D275F" w:rsidP="002D275F">
      <w:pPr>
        <w:pStyle w:val="NoSpacing"/>
        <w:jc w:val="both"/>
        <w:rPr>
          <w:b/>
          <w:sz w:val="24"/>
          <w:szCs w:val="24"/>
        </w:rPr>
      </w:pPr>
      <w:r w:rsidRPr="00281A42">
        <w:rPr>
          <w:b/>
          <w:bCs/>
          <w:color w:val="255E91"/>
          <w:sz w:val="24"/>
          <w:szCs w:val="24"/>
        </w:rPr>
        <w:t>Medication Adherence:</w:t>
      </w:r>
      <w:r w:rsidRPr="00281A42">
        <w:rPr>
          <w:color w:val="255E91"/>
          <w:sz w:val="24"/>
          <w:szCs w:val="24"/>
        </w:rPr>
        <w:t xml:space="preserve"> </w:t>
      </w:r>
      <w:r w:rsidRPr="00AB3AF8">
        <w:rPr>
          <w:sz w:val="24"/>
          <w:szCs w:val="24"/>
        </w:rPr>
        <w:t xml:space="preserve">Patients are discharged on specific medication regimens after suffering a stroke to help prevent additional strokes. These medications may include antihypertensives, </w:t>
      </w:r>
      <w:proofErr w:type="spellStart"/>
      <w:r w:rsidRPr="00AB3AF8">
        <w:rPr>
          <w:sz w:val="24"/>
          <w:szCs w:val="24"/>
        </w:rPr>
        <w:t>antithrombics</w:t>
      </w:r>
      <w:proofErr w:type="spellEnd"/>
      <w:r w:rsidRPr="00AB3AF8">
        <w:rPr>
          <w:sz w:val="24"/>
          <w:szCs w:val="24"/>
        </w:rPr>
        <w:t xml:space="preserve">, anticoagulation therapies, and </w:t>
      </w:r>
      <w:proofErr w:type="spellStart"/>
      <w:r w:rsidRPr="00AB3AF8">
        <w:rPr>
          <w:sz w:val="24"/>
          <w:szCs w:val="24"/>
        </w:rPr>
        <w:t>antilipidemics</w:t>
      </w:r>
      <w:proofErr w:type="spellEnd"/>
      <w:r w:rsidRPr="00AB3AF8">
        <w:rPr>
          <w:sz w:val="24"/>
          <w:szCs w:val="24"/>
        </w:rPr>
        <w:t xml:space="preserve">. </w:t>
      </w:r>
    </w:p>
    <w:p w14:paraId="7C0F6CA5" w14:textId="77777777" w:rsidR="002D275F" w:rsidRPr="00AB3AF8" w:rsidRDefault="002D275F" w:rsidP="002D275F">
      <w:pPr>
        <w:pStyle w:val="NoSpacing"/>
        <w:jc w:val="both"/>
        <w:rPr>
          <w:sz w:val="24"/>
          <w:szCs w:val="24"/>
        </w:rPr>
      </w:pPr>
      <w:r w:rsidRPr="00281A42">
        <w:rPr>
          <w:b/>
          <w:bCs/>
          <w:color w:val="255E91"/>
          <w:sz w:val="24"/>
          <w:szCs w:val="24"/>
        </w:rPr>
        <w:t>Rehabilitation:</w:t>
      </w:r>
      <w:r w:rsidRPr="00281A42">
        <w:rPr>
          <w:color w:val="255E91"/>
          <w:sz w:val="24"/>
          <w:szCs w:val="24"/>
        </w:rPr>
        <w:t xml:space="preserve"> </w:t>
      </w:r>
      <w:r w:rsidRPr="00AB3AF8">
        <w:rPr>
          <w:sz w:val="24"/>
          <w:szCs w:val="24"/>
        </w:rPr>
        <w:t>percentage of patients with stroke evaluated for rehabilitation services including modalities within the hospital, subacute care, long-term care facility, home, and outpatient therapies.</w:t>
      </w:r>
    </w:p>
    <w:p w14:paraId="76C7F35E" w14:textId="77777777" w:rsidR="002D275F" w:rsidRDefault="002D275F" w:rsidP="002D275F">
      <w:pPr>
        <w:pStyle w:val="NoSpacing"/>
        <w:jc w:val="both"/>
        <w:rPr>
          <w:sz w:val="24"/>
          <w:szCs w:val="24"/>
        </w:rPr>
      </w:pPr>
      <w:r w:rsidRPr="00281A42">
        <w:rPr>
          <w:b/>
          <w:bCs/>
          <w:color w:val="255E91"/>
          <w:sz w:val="24"/>
          <w:szCs w:val="24"/>
        </w:rPr>
        <w:lastRenderedPageBreak/>
        <w:t>Risk Factors for Stroke:</w:t>
      </w:r>
      <w:r w:rsidRPr="00281A42">
        <w:rPr>
          <w:color w:val="255E91"/>
          <w:sz w:val="24"/>
          <w:szCs w:val="24"/>
        </w:rPr>
        <w:t xml:space="preserve"> </w:t>
      </w:r>
      <w:r w:rsidRPr="00AB3AF8">
        <w:rPr>
          <w:sz w:val="24"/>
          <w:szCs w:val="24"/>
        </w:rPr>
        <w:t>include, but are not limited to, using tobacco products, obesity/overweight, high blood pressure, high cholesterol (LDL), heart disease, diabetes, and sickle cell disease.</w:t>
      </w:r>
    </w:p>
    <w:p w14:paraId="6FD0600C" w14:textId="77777777" w:rsidR="002D275F" w:rsidRPr="00AB3AF8" w:rsidRDefault="002D275F" w:rsidP="002D275F">
      <w:pPr>
        <w:pStyle w:val="NoSpacing"/>
        <w:jc w:val="both"/>
        <w:rPr>
          <w:sz w:val="24"/>
          <w:szCs w:val="24"/>
        </w:rPr>
      </w:pPr>
      <w:r w:rsidRPr="00281A42">
        <w:rPr>
          <w:b/>
          <w:bCs/>
          <w:color w:val="255E91"/>
          <w:sz w:val="24"/>
          <w:szCs w:val="24"/>
        </w:rPr>
        <w:t>Smoking Cessation:</w:t>
      </w:r>
      <w:r w:rsidRPr="00281A42">
        <w:rPr>
          <w:color w:val="255E91"/>
          <w:sz w:val="24"/>
          <w:szCs w:val="24"/>
        </w:rPr>
        <w:t xml:space="preserve"> </w:t>
      </w:r>
      <w:r w:rsidRPr="00AB3AF8">
        <w:rPr>
          <w:sz w:val="24"/>
          <w:szCs w:val="24"/>
        </w:rPr>
        <w:t>percentage of patients with history of tobacco use who receive, or their caregivers receive, smoking cessation advice or counseling during hospital stay.</w:t>
      </w:r>
    </w:p>
    <w:p w14:paraId="280192CA" w14:textId="77777777" w:rsidR="002D275F" w:rsidRPr="00AB3AF8" w:rsidRDefault="002D275F" w:rsidP="002D275F">
      <w:pPr>
        <w:pStyle w:val="NoSpacing"/>
        <w:jc w:val="both"/>
        <w:rPr>
          <w:sz w:val="24"/>
          <w:szCs w:val="24"/>
        </w:rPr>
      </w:pPr>
      <w:r w:rsidRPr="00281A42">
        <w:rPr>
          <w:b/>
          <w:bCs/>
          <w:color w:val="255E91"/>
          <w:sz w:val="24"/>
          <w:szCs w:val="24"/>
        </w:rPr>
        <w:t>Stroke Education:</w:t>
      </w:r>
      <w:r w:rsidRPr="00281A42">
        <w:rPr>
          <w:color w:val="255E91"/>
          <w:sz w:val="24"/>
          <w:szCs w:val="24"/>
        </w:rPr>
        <w:t xml:space="preserve"> </w:t>
      </w:r>
      <w:r w:rsidRPr="00AB3AF8">
        <w:rPr>
          <w:sz w:val="24"/>
          <w:szCs w:val="24"/>
        </w:rPr>
        <w:t>patients/caregivers provided with education and/or educational materials during the hospital stay addressing personal risk factors and warning signs of stroke, activation of emergency medical system, need for follow-up after discharge, and medications prescribed.</w:t>
      </w:r>
    </w:p>
    <w:p w14:paraId="5F690E8C" w14:textId="77777777" w:rsidR="002D275F" w:rsidRPr="00AB3AF8" w:rsidRDefault="002D275F" w:rsidP="002D275F">
      <w:pPr>
        <w:pStyle w:val="NoSpacing"/>
        <w:jc w:val="both"/>
        <w:rPr>
          <w:sz w:val="24"/>
          <w:szCs w:val="24"/>
        </w:rPr>
      </w:pPr>
      <w:r w:rsidRPr="00281A42">
        <w:rPr>
          <w:b/>
          <w:bCs/>
          <w:color w:val="255E91"/>
          <w:sz w:val="24"/>
          <w:szCs w:val="24"/>
        </w:rPr>
        <w:t>Subarachnoid Hemorrhage (SAH):</w:t>
      </w:r>
      <w:r w:rsidRPr="00281A42">
        <w:rPr>
          <w:color w:val="255E91"/>
          <w:sz w:val="24"/>
          <w:szCs w:val="24"/>
        </w:rPr>
        <w:t xml:space="preserve"> </w:t>
      </w:r>
      <w:r w:rsidRPr="00AB3AF8">
        <w:rPr>
          <w:sz w:val="24"/>
          <w:szCs w:val="24"/>
        </w:rPr>
        <w:t xml:space="preserve">occurs when a blood vessel just outside the brain ruptures. The area </w:t>
      </w:r>
      <w:r w:rsidRPr="00AB3AF8">
        <w:rPr>
          <w:sz w:val="24"/>
          <w:szCs w:val="24"/>
        </w:rPr>
        <w:t>of the skull surrounding the brain (the subarachnoid space) rapidly fills with blood.</w:t>
      </w:r>
    </w:p>
    <w:p w14:paraId="5C5FEF6B" w14:textId="77777777" w:rsidR="002D275F" w:rsidRDefault="002D275F" w:rsidP="002D275F">
      <w:pPr>
        <w:pStyle w:val="NoSpacing"/>
        <w:jc w:val="both"/>
        <w:rPr>
          <w:b/>
          <w:bCs/>
          <w:color w:val="255E91"/>
          <w:sz w:val="24"/>
          <w:szCs w:val="24"/>
        </w:rPr>
      </w:pPr>
      <w:r w:rsidRPr="00281A42">
        <w:rPr>
          <w:b/>
          <w:bCs/>
          <w:color w:val="255E91"/>
          <w:sz w:val="24"/>
          <w:szCs w:val="24"/>
        </w:rPr>
        <w:t>Transient Ischemic Attack (TIA):</w:t>
      </w:r>
      <w:r w:rsidRPr="00281A42">
        <w:rPr>
          <w:color w:val="255E91"/>
          <w:sz w:val="24"/>
          <w:szCs w:val="24"/>
        </w:rPr>
        <w:t xml:space="preserve"> </w:t>
      </w:r>
      <w:r w:rsidRPr="00AB3AF8">
        <w:rPr>
          <w:sz w:val="24"/>
          <w:szCs w:val="24"/>
        </w:rPr>
        <w:t>occurs when a clot (typically blood) temporarily blocks an artery and part of the brain does not get the blood flow it needs. Symptoms occur rapidly and usually last for a short time (less than 24 hours) before resolving completely and leaving no permanent damage.</w:t>
      </w:r>
      <w:r w:rsidRPr="00B61178">
        <w:rPr>
          <w:b/>
          <w:bCs/>
          <w:color w:val="255E91"/>
          <w:sz w:val="24"/>
          <w:szCs w:val="24"/>
        </w:rPr>
        <w:t xml:space="preserve"> </w:t>
      </w:r>
    </w:p>
    <w:p w14:paraId="6770BE8D" w14:textId="77777777" w:rsidR="002D275F" w:rsidRPr="00B61178" w:rsidRDefault="002D275F" w:rsidP="002D275F">
      <w:pPr>
        <w:pStyle w:val="NoSpacing"/>
        <w:jc w:val="both"/>
        <w:rPr>
          <w:sz w:val="24"/>
          <w:szCs w:val="24"/>
        </w:rPr>
      </w:pPr>
      <w:r w:rsidRPr="00281A42">
        <w:rPr>
          <w:b/>
          <w:bCs/>
          <w:color w:val="255E91"/>
          <w:sz w:val="24"/>
          <w:szCs w:val="24"/>
        </w:rPr>
        <w:t>VTE Prophylaxis:</w:t>
      </w:r>
      <w:r w:rsidRPr="00281A42">
        <w:rPr>
          <w:color w:val="255E91"/>
          <w:sz w:val="24"/>
          <w:szCs w:val="24"/>
        </w:rPr>
        <w:t xml:space="preserve"> </w:t>
      </w:r>
      <w:r w:rsidRPr="00AB3AF8">
        <w:rPr>
          <w:sz w:val="24"/>
          <w:szCs w:val="24"/>
        </w:rPr>
        <w:t>percentage of patients with ischemic stroke, hemorrhagic stroke, or like conditions who receive venous thromboembolism prophylaxis (VTE) the day of or day after hospital admission.</w:t>
      </w:r>
    </w:p>
    <w:p w14:paraId="601568A6" w14:textId="0FEADBBB" w:rsidR="00801711" w:rsidRDefault="00801711">
      <w:r>
        <w:br w:type="page"/>
      </w:r>
    </w:p>
    <w:p w14:paraId="3FFC4556" w14:textId="77777777" w:rsidR="002D275F" w:rsidRPr="001E5903" w:rsidRDefault="002D275F" w:rsidP="006F3331">
      <w:pPr>
        <w:pStyle w:val="NoSpacing"/>
        <w:spacing w:line="276" w:lineRule="auto"/>
        <w:sectPr w:rsidR="002D275F" w:rsidRPr="001E5903" w:rsidSect="00A7020D">
          <w:type w:val="continuous"/>
          <w:pgSz w:w="12240" w:h="15840"/>
          <w:pgMar w:top="720" w:right="720" w:bottom="720" w:left="720" w:header="432" w:footer="432" w:gutter="0"/>
          <w:pgNumType w:start="1"/>
          <w:cols w:num="2" w:space="360"/>
          <w:docGrid w:linePitch="360"/>
        </w:sectPr>
      </w:pPr>
    </w:p>
    <w:p w14:paraId="7B6DFDE7" w14:textId="77777777" w:rsidR="00A01055" w:rsidRPr="001E5903" w:rsidRDefault="00A01055" w:rsidP="00A3198B">
      <w:pPr>
        <w:pStyle w:val="TextOPHIE"/>
        <w:rPr>
          <w:rFonts w:asciiTheme="minorHAnsi" w:hAnsiTheme="minorHAnsi" w:cstheme="minorHAnsi"/>
          <w:sz w:val="21"/>
          <w:szCs w:val="21"/>
        </w:rPr>
        <w:sectPr w:rsidR="00A01055" w:rsidRPr="001E5903" w:rsidSect="00A7020D">
          <w:type w:val="continuous"/>
          <w:pgSz w:w="12240" w:h="15840"/>
          <w:pgMar w:top="720" w:right="360" w:bottom="720" w:left="630" w:header="720" w:footer="432" w:gutter="0"/>
          <w:pgNumType w:start="1"/>
          <w:cols w:num="2" w:space="720"/>
          <w:docGrid w:linePitch="360"/>
        </w:sectPr>
      </w:pPr>
    </w:p>
    <w:p w14:paraId="198D67A0" w14:textId="3F5A9694" w:rsidR="00B61EB9" w:rsidRPr="008E6FA8" w:rsidRDefault="00D51185" w:rsidP="0050535F">
      <w:pPr>
        <w:pStyle w:val="HeadingOPHIE"/>
        <w:spacing w:before="0" w:after="120"/>
        <w:rPr>
          <w:sz w:val="32"/>
          <w:szCs w:val="12"/>
        </w:rPr>
      </w:pPr>
      <w:r w:rsidRPr="008E6FA8">
        <w:rPr>
          <w:color w:val="auto"/>
          <w:sz w:val="32"/>
          <w:szCs w:val="12"/>
        </w:rPr>
        <w:t>References</w:t>
      </w:r>
    </w:p>
    <w:p w14:paraId="56051071" w14:textId="6B2F6665" w:rsidR="00C87840" w:rsidRPr="00874B1F" w:rsidRDefault="003B228B" w:rsidP="003B228B">
      <w:pPr>
        <w:pStyle w:val="FootnoteText"/>
        <w:jc w:val="both"/>
        <w:rPr>
          <w:rFonts w:asciiTheme="minorHAnsi" w:hAnsiTheme="minorHAnsi" w:cstheme="minorHAnsi"/>
          <w:sz w:val="22"/>
          <w:szCs w:val="22"/>
        </w:rPr>
      </w:pPr>
      <w:r w:rsidRPr="00874B1F">
        <w:rPr>
          <w:rStyle w:val="FootnoteReference"/>
          <w:rFonts w:asciiTheme="minorHAnsi" w:hAnsiTheme="minorHAnsi" w:cstheme="minorHAnsi"/>
          <w:sz w:val="22"/>
          <w:szCs w:val="22"/>
        </w:rPr>
        <w:t>1</w:t>
      </w:r>
      <w:r w:rsidRPr="00874B1F">
        <w:rPr>
          <w:rFonts w:asciiTheme="minorHAnsi" w:hAnsiTheme="minorHAnsi" w:cstheme="minorHAnsi"/>
          <w:sz w:val="22"/>
          <w:szCs w:val="22"/>
        </w:rPr>
        <w:t xml:space="preserve"> </w:t>
      </w:r>
      <w:r w:rsidR="00C87840" w:rsidRPr="00874B1F">
        <w:rPr>
          <w:rFonts w:asciiTheme="minorHAnsi" w:hAnsiTheme="minorHAnsi" w:cstheme="minorHAnsi"/>
          <w:sz w:val="22"/>
          <w:szCs w:val="22"/>
        </w:rPr>
        <w:t>Centers for Disease Control and Prevention. (2019, April 27). National Center for Health Statistics: Deaths and Mortality</w:t>
      </w:r>
    </w:p>
    <w:p w14:paraId="1478261B" w14:textId="75996AF9" w:rsidR="00C87840" w:rsidRPr="00874B1F" w:rsidRDefault="000F30BA" w:rsidP="005174EC">
      <w:pPr>
        <w:pStyle w:val="FootnoteText"/>
        <w:rPr>
          <w:rFonts w:asciiTheme="minorHAnsi" w:hAnsiTheme="minorHAnsi" w:cstheme="minorHAnsi"/>
          <w:sz w:val="22"/>
          <w:szCs w:val="22"/>
        </w:rPr>
      </w:pPr>
      <w:hyperlink r:id="rId37" w:history="1">
        <w:r w:rsidR="003D04F9" w:rsidRPr="00874B1F">
          <w:rPr>
            <w:rStyle w:val="Hyperlink"/>
            <w:rFonts w:asciiTheme="minorHAnsi" w:hAnsiTheme="minorHAnsi" w:cstheme="minorHAnsi"/>
            <w:sz w:val="22"/>
            <w:szCs w:val="22"/>
          </w:rPr>
          <w:t>https://www.cdc.gov/nchs/fastats/deaths.htm</w:t>
        </w:r>
      </w:hyperlink>
    </w:p>
    <w:p w14:paraId="5666FDB7" w14:textId="37AE48DF" w:rsidR="003B228B" w:rsidRPr="00874B1F" w:rsidRDefault="003B228B" w:rsidP="005174EC">
      <w:pPr>
        <w:pStyle w:val="FootnoteText"/>
        <w:rPr>
          <w:rFonts w:asciiTheme="minorHAnsi" w:hAnsiTheme="minorHAnsi" w:cstheme="minorHAnsi"/>
          <w:sz w:val="22"/>
          <w:szCs w:val="22"/>
        </w:rPr>
      </w:pPr>
      <w:r w:rsidRPr="00874B1F">
        <w:rPr>
          <w:rStyle w:val="FootnoteReference"/>
          <w:rFonts w:asciiTheme="minorHAnsi" w:hAnsiTheme="minorHAnsi" w:cstheme="minorHAnsi"/>
          <w:sz w:val="22"/>
          <w:szCs w:val="22"/>
        </w:rPr>
        <w:t>2</w:t>
      </w:r>
      <w:r w:rsidRPr="00874B1F">
        <w:rPr>
          <w:rFonts w:asciiTheme="minorHAnsi" w:hAnsiTheme="minorHAnsi" w:cstheme="minorHAnsi"/>
          <w:sz w:val="22"/>
          <w:szCs w:val="22"/>
        </w:rPr>
        <w:t xml:space="preserve"> Office of Analytics. Department of Health and Human Services. </w:t>
      </w:r>
      <w:r w:rsidRPr="00874B1F">
        <w:rPr>
          <w:rFonts w:asciiTheme="minorHAnsi" w:hAnsiTheme="minorHAnsi" w:cstheme="minorHAnsi"/>
          <w:i/>
          <w:sz w:val="22"/>
          <w:szCs w:val="22"/>
        </w:rPr>
        <w:t>Minority Health Report: 2012-2016</w:t>
      </w:r>
      <w:r w:rsidRPr="00874B1F">
        <w:rPr>
          <w:rFonts w:asciiTheme="minorHAnsi" w:hAnsiTheme="minorHAnsi" w:cstheme="minorHAnsi"/>
          <w:sz w:val="22"/>
          <w:szCs w:val="22"/>
        </w:rPr>
        <w:t>. Carson City, Nevada e1.0. March 2018.</w:t>
      </w:r>
    </w:p>
    <w:p w14:paraId="342E595F" w14:textId="31D1281C" w:rsidR="00C87840" w:rsidRPr="00874B1F" w:rsidRDefault="000F30BA" w:rsidP="005174EC">
      <w:pPr>
        <w:pStyle w:val="FootnoteText"/>
        <w:rPr>
          <w:rStyle w:val="Hyperlink"/>
          <w:rFonts w:asciiTheme="minorHAnsi" w:hAnsiTheme="minorHAnsi" w:cstheme="minorHAnsi"/>
          <w:sz w:val="22"/>
          <w:szCs w:val="22"/>
        </w:rPr>
      </w:pPr>
      <w:hyperlink r:id="rId38" w:history="1">
        <w:r w:rsidR="00C87840" w:rsidRPr="00874B1F">
          <w:rPr>
            <w:rStyle w:val="Hyperlink"/>
            <w:rFonts w:asciiTheme="minorHAnsi" w:hAnsiTheme="minorHAnsi" w:cstheme="minorHAnsi"/>
            <w:sz w:val="22"/>
            <w:szCs w:val="22"/>
          </w:rPr>
          <w:t>http://dhhs.nv.gov/uploadedFiles/dhhsnvgov/content/Programs/Office_of_Analytics/Images/Minority%20Health%20Report%202019%20v1.0.pdf</w:t>
        </w:r>
      </w:hyperlink>
    </w:p>
    <w:p w14:paraId="48202AC0" w14:textId="0C2DA15A" w:rsidR="003B228B" w:rsidRPr="00874B1F" w:rsidRDefault="003B228B" w:rsidP="005174EC">
      <w:pPr>
        <w:pStyle w:val="HTMLPreformatted"/>
        <w:rPr>
          <w:rFonts w:asciiTheme="minorHAnsi" w:hAnsiTheme="minorHAnsi" w:cstheme="minorHAnsi"/>
          <w:color w:val="000000"/>
          <w:sz w:val="22"/>
          <w:szCs w:val="22"/>
        </w:rPr>
      </w:pPr>
      <w:r w:rsidRPr="00874B1F">
        <w:rPr>
          <w:rStyle w:val="FootnoteReference"/>
          <w:rFonts w:asciiTheme="minorHAnsi" w:hAnsiTheme="minorHAnsi" w:cstheme="minorHAnsi"/>
          <w:sz w:val="22"/>
          <w:szCs w:val="22"/>
        </w:rPr>
        <w:t>3</w:t>
      </w:r>
      <w:r w:rsidRPr="00874B1F">
        <w:rPr>
          <w:rFonts w:asciiTheme="minorHAnsi" w:hAnsiTheme="minorHAnsi" w:cstheme="minorHAnsi"/>
          <w:sz w:val="22"/>
          <w:szCs w:val="22"/>
        </w:rPr>
        <w:t xml:space="preserve"> Yang Q, T. X. (2017). Vital signs: Recent Trends in Stroke Death Rates-United States, 2000-2015. </w:t>
      </w:r>
      <w:r w:rsidRPr="00874B1F">
        <w:rPr>
          <w:rFonts w:asciiTheme="minorHAnsi" w:hAnsiTheme="minorHAnsi" w:cstheme="minorHAnsi"/>
          <w:i/>
          <w:sz w:val="22"/>
          <w:szCs w:val="22"/>
        </w:rPr>
        <w:t>Morbidity and Mortality Weekly Report,</w:t>
      </w:r>
      <w:r w:rsidRPr="00874B1F">
        <w:rPr>
          <w:rFonts w:asciiTheme="minorHAnsi" w:hAnsiTheme="minorHAnsi" w:cstheme="minorHAnsi"/>
          <w:sz w:val="22"/>
          <w:szCs w:val="22"/>
        </w:rPr>
        <w:t xml:space="preserve"> 933-939. </w:t>
      </w:r>
    </w:p>
    <w:p w14:paraId="1514D65A" w14:textId="1E7D2D73" w:rsidR="003B228B" w:rsidRPr="00874B1F" w:rsidRDefault="003B228B" w:rsidP="005174EC">
      <w:pPr>
        <w:pStyle w:val="FootnoteText"/>
        <w:tabs>
          <w:tab w:val="left" w:pos="9630"/>
          <w:tab w:val="left" w:pos="9900"/>
        </w:tabs>
        <w:ind w:right="-180"/>
        <w:rPr>
          <w:rFonts w:asciiTheme="minorHAnsi" w:hAnsiTheme="minorHAnsi" w:cstheme="minorHAnsi"/>
          <w:sz w:val="22"/>
          <w:szCs w:val="22"/>
        </w:rPr>
      </w:pPr>
      <w:r w:rsidRPr="00874B1F">
        <w:rPr>
          <w:rStyle w:val="FootnoteReference"/>
          <w:rFonts w:asciiTheme="minorHAnsi" w:hAnsiTheme="minorHAnsi" w:cstheme="minorHAnsi"/>
          <w:sz w:val="22"/>
          <w:szCs w:val="22"/>
        </w:rPr>
        <w:t>4</w:t>
      </w:r>
      <w:r w:rsidRPr="00874B1F">
        <w:rPr>
          <w:rFonts w:asciiTheme="minorHAnsi" w:hAnsiTheme="minorHAnsi" w:cstheme="minorHAnsi"/>
          <w:sz w:val="22"/>
          <w:szCs w:val="22"/>
        </w:rPr>
        <w:t xml:space="preserve"> American Heart Association. (2019, April 4). </w:t>
      </w:r>
      <w:r w:rsidRPr="00874B1F">
        <w:rPr>
          <w:rFonts w:asciiTheme="minorHAnsi" w:hAnsiTheme="minorHAnsi" w:cstheme="minorHAnsi"/>
          <w:i/>
          <w:sz w:val="22"/>
          <w:szCs w:val="22"/>
        </w:rPr>
        <w:t>Let’s talk about stroke prevention: risk factors for stroke.</w:t>
      </w:r>
      <w:r w:rsidRPr="00874B1F">
        <w:rPr>
          <w:rFonts w:asciiTheme="minorHAnsi" w:hAnsiTheme="minorHAnsi" w:cstheme="minorHAnsi"/>
          <w:sz w:val="22"/>
          <w:szCs w:val="22"/>
        </w:rPr>
        <w:t xml:space="preserve"> Retrieved from risk factors for stroke:</w:t>
      </w:r>
      <w:hyperlink r:id="rId39" w:history="1">
        <w:r w:rsidR="0087577C" w:rsidRPr="00874B1F">
          <w:rPr>
            <w:rStyle w:val="Hyperlink"/>
            <w:rFonts w:asciiTheme="minorHAnsi" w:hAnsiTheme="minorHAnsi" w:cstheme="minorHAnsi"/>
            <w:sz w:val="22"/>
            <w:szCs w:val="22"/>
          </w:rPr>
          <w:t>https://www.strokeassociation.org/-/media/stroke-files/lets-talk-about-risk-factors-for-stroke ucm_309713.pdf?la=en&amp;hash=19A31EF2419E43756C4B0208BBAC49CAD5BAD03E</w:t>
        </w:r>
      </w:hyperlink>
      <w:r w:rsidRPr="00874B1F">
        <w:rPr>
          <w:rFonts w:asciiTheme="minorHAnsi" w:hAnsiTheme="minorHAnsi" w:cstheme="minorHAnsi"/>
          <w:sz w:val="22"/>
          <w:szCs w:val="22"/>
        </w:rPr>
        <w:t xml:space="preserve"> </w:t>
      </w:r>
    </w:p>
    <w:p w14:paraId="5B7002ED" w14:textId="021D1DD5" w:rsidR="003B228B" w:rsidRPr="00874B1F" w:rsidRDefault="003B228B" w:rsidP="005174EC">
      <w:pPr>
        <w:pStyle w:val="FootnoteText"/>
        <w:rPr>
          <w:rFonts w:asciiTheme="minorHAnsi" w:hAnsiTheme="minorHAnsi" w:cstheme="minorHAnsi"/>
          <w:sz w:val="22"/>
          <w:szCs w:val="22"/>
        </w:rPr>
      </w:pPr>
      <w:r w:rsidRPr="00874B1F">
        <w:rPr>
          <w:rStyle w:val="FootnoteReference"/>
          <w:rFonts w:asciiTheme="minorHAnsi" w:hAnsiTheme="minorHAnsi" w:cstheme="minorHAnsi"/>
          <w:sz w:val="22"/>
          <w:szCs w:val="22"/>
        </w:rPr>
        <w:t>5</w:t>
      </w:r>
      <w:r w:rsidRPr="00874B1F">
        <w:rPr>
          <w:rFonts w:asciiTheme="minorHAnsi" w:hAnsiTheme="minorHAnsi" w:cstheme="minorHAnsi"/>
          <w:sz w:val="22"/>
          <w:szCs w:val="22"/>
        </w:rPr>
        <w:t xml:space="preserve"> National Center for Health Statistics. (2017). </w:t>
      </w:r>
      <w:r w:rsidRPr="00874B1F">
        <w:rPr>
          <w:rFonts w:asciiTheme="minorHAnsi" w:hAnsiTheme="minorHAnsi" w:cstheme="minorHAnsi"/>
          <w:i/>
          <w:sz w:val="22"/>
          <w:szCs w:val="22"/>
        </w:rPr>
        <w:t>Health, United States, 2016: With Chartbook on Long-term Trends in Health.</w:t>
      </w:r>
      <w:r w:rsidRPr="00874B1F">
        <w:rPr>
          <w:rFonts w:asciiTheme="minorHAnsi" w:hAnsiTheme="minorHAnsi" w:cstheme="minorHAnsi"/>
          <w:sz w:val="22"/>
          <w:szCs w:val="22"/>
        </w:rPr>
        <w:t xml:space="preserve"> Hyattsville.</w:t>
      </w:r>
    </w:p>
    <w:p w14:paraId="7683973E" w14:textId="0B8C0699" w:rsidR="003B228B" w:rsidRPr="00874B1F" w:rsidRDefault="003B228B" w:rsidP="006E06D1">
      <w:pPr>
        <w:pStyle w:val="Bibliography"/>
        <w:spacing w:after="0"/>
        <w:rPr>
          <w:rFonts w:cstheme="minorHAnsi"/>
          <w:noProof/>
        </w:rPr>
      </w:pPr>
      <w:r w:rsidRPr="00874B1F">
        <w:rPr>
          <w:rFonts w:cstheme="minorHAnsi"/>
          <w:noProof/>
          <w:vertAlign w:val="superscript"/>
        </w:rPr>
        <w:t xml:space="preserve">6 </w:t>
      </w:r>
      <w:r w:rsidRPr="00874B1F">
        <w:rPr>
          <w:rFonts w:cstheme="minorHAnsi"/>
          <w:noProof/>
        </w:rPr>
        <w:t xml:space="preserve">Maxine Papadakis, S. M. (2019). </w:t>
      </w:r>
      <w:r w:rsidRPr="00874B1F">
        <w:rPr>
          <w:rFonts w:cstheme="minorHAnsi"/>
          <w:i/>
          <w:iCs/>
          <w:noProof/>
        </w:rPr>
        <w:t>Current Medical Diagnosis and Treatment.</w:t>
      </w:r>
      <w:r w:rsidRPr="00874B1F">
        <w:rPr>
          <w:rFonts w:cstheme="minorHAnsi"/>
          <w:noProof/>
        </w:rPr>
        <w:t xml:space="preserve"> New York: McGraw-Hill Education.</w:t>
      </w:r>
    </w:p>
    <w:p w14:paraId="2A14BD57" w14:textId="55AB7124" w:rsidR="003B228B" w:rsidRPr="00874B1F" w:rsidRDefault="003B228B" w:rsidP="005174EC">
      <w:pPr>
        <w:pStyle w:val="TextOPHIE"/>
        <w:rPr>
          <w:rStyle w:val="Hyperlink"/>
          <w:rFonts w:asciiTheme="minorHAnsi" w:hAnsiTheme="minorHAnsi" w:cstheme="minorHAnsi"/>
          <w:noProof/>
          <w:sz w:val="22"/>
          <w:szCs w:val="22"/>
        </w:rPr>
      </w:pPr>
      <w:r w:rsidRPr="00874B1F">
        <w:rPr>
          <w:rFonts w:asciiTheme="minorHAnsi" w:hAnsiTheme="minorHAnsi" w:cstheme="minorHAnsi"/>
          <w:noProof/>
          <w:sz w:val="22"/>
          <w:szCs w:val="22"/>
          <w:vertAlign w:val="superscript"/>
        </w:rPr>
        <w:t>7</w:t>
      </w:r>
      <w:r w:rsidRPr="00874B1F">
        <w:rPr>
          <w:rFonts w:asciiTheme="minorHAnsi" w:hAnsiTheme="minorHAnsi" w:cstheme="minorHAnsi"/>
          <w:noProof/>
          <w:sz w:val="22"/>
          <w:szCs w:val="22"/>
        </w:rPr>
        <w:t xml:space="preserve"> PMT, G.W.-S. (2019). </w:t>
      </w:r>
      <w:r w:rsidRPr="00874B1F">
        <w:rPr>
          <w:rFonts w:asciiTheme="minorHAnsi" w:hAnsiTheme="minorHAnsi" w:cstheme="minorHAnsi"/>
          <w:i/>
          <w:iCs/>
          <w:noProof/>
          <w:sz w:val="22"/>
          <w:szCs w:val="22"/>
        </w:rPr>
        <w:t>Quality Measure Description.</w:t>
      </w:r>
      <w:r w:rsidRPr="00874B1F">
        <w:rPr>
          <w:rFonts w:asciiTheme="minorHAnsi" w:hAnsiTheme="minorHAnsi" w:cstheme="minorHAnsi"/>
          <w:noProof/>
          <w:sz w:val="22"/>
          <w:szCs w:val="22"/>
        </w:rPr>
        <w:t xml:space="preserve"> Retrieved from Get With the Guidelines Community Page: </w:t>
      </w:r>
      <w:hyperlink r:id="rId40" w:history="1">
        <w:r w:rsidRPr="00874B1F">
          <w:rPr>
            <w:rStyle w:val="Hyperlink"/>
            <w:rFonts w:asciiTheme="minorHAnsi" w:hAnsiTheme="minorHAnsi" w:cstheme="minorHAnsi"/>
            <w:noProof/>
            <w:sz w:val="22"/>
            <w:szCs w:val="22"/>
          </w:rPr>
          <w:t>https://osstatic.irp.iqvia.com/online_doc_qi/StrokePMT/measure/Quality%20Measure%20Descriptions.html</w:t>
        </w:r>
      </w:hyperlink>
    </w:p>
    <w:p w14:paraId="4C7B9301" w14:textId="77777777" w:rsidR="003B228B" w:rsidRPr="00874B1F" w:rsidRDefault="003B228B" w:rsidP="006E06D1">
      <w:pPr>
        <w:spacing w:after="0"/>
        <w:rPr>
          <w:rFonts w:cstheme="minorHAnsi"/>
          <w:color w:val="303030"/>
          <w:shd w:val="clear" w:color="auto" w:fill="FFFFFF"/>
        </w:rPr>
      </w:pPr>
      <w:r w:rsidRPr="00874B1F">
        <w:rPr>
          <w:rFonts w:cstheme="minorHAnsi"/>
          <w:color w:val="303030"/>
          <w:shd w:val="clear" w:color="auto" w:fill="FFFFFF"/>
          <w:vertAlign w:val="superscript"/>
        </w:rPr>
        <w:t>8</w:t>
      </w:r>
      <w:r w:rsidRPr="00874B1F">
        <w:rPr>
          <w:rFonts w:cstheme="minorHAnsi"/>
          <w:color w:val="303030"/>
          <w:shd w:val="clear" w:color="auto" w:fill="FFFFFF"/>
        </w:rPr>
        <w:t xml:space="preserve"> Fugate, J. E., &amp; </w:t>
      </w:r>
      <w:proofErr w:type="spellStart"/>
      <w:r w:rsidRPr="00874B1F">
        <w:rPr>
          <w:rFonts w:cstheme="minorHAnsi"/>
          <w:color w:val="303030"/>
          <w:shd w:val="clear" w:color="auto" w:fill="FFFFFF"/>
        </w:rPr>
        <w:t>Rabinstein</w:t>
      </w:r>
      <w:proofErr w:type="spellEnd"/>
      <w:r w:rsidRPr="00874B1F">
        <w:rPr>
          <w:rFonts w:cstheme="minorHAnsi"/>
          <w:color w:val="303030"/>
          <w:shd w:val="clear" w:color="auto" w:fill="FFFFFF"/>
        </w:rPr>
        <w:t>, A. A. (2015). Absolute and Relative Contraindications to IV rt-PA for Acute Ischemic Stroke. </w:t>
      </w:r>
      <w:r w:rsidRPr="00874B1F">
        <w:rPr>
          <w:rFonts w:cstheme="minorHAnsi"/>
          <w:i/>
          <w:iCs/>
          <w:color w:val="303030"/>
          <w:shd w:val="clear" w:color="auto" w:fill="FFFFFF"/>
        </w:rPr>
        <w:t xml:space="preserve">The </w:t>
      </w:r>
      <w:proofErr w:type="spellStart"/>
      <w:r w:rsidRPr="00874B1F">
        <w:rPr>
          <w:rFonts w:cstheme="minorHAnsi"/>
          <w:i/>
          <w:iCs/>
          <w:color w:val="303030"/>
          <w:shd w:val="clear" w:color="auto" w:fill="FFFFFF"/>
        </w:rPr>
        <w:t>Neurohospitalist</w:t>
      </w:r>
      <w:proofErr w:type="spellEnd"/>
      <w:r w:rsidRPr="00874B1F">
        <w:rPr>
          <w:rFonts w:cstheme="minorHAnsi"/>
          <w:color w:val="303030"/>
          <w:shd w:val="clear" w:color="auto" w:fill="FFFFFF"/>
        </w:rPr>
        <w:t>, </w:t>
      </w:r>
      <w:r w:rsidRPr="00874B1F">
        <w:rPr>
          <w:rFonts w:cstheme="minorHAnsi"/>
          <w:i/>
          <w:iCs/>
          <w:color w:val="303030"/>
          <w:shd w:val="clear" w:color="auto" w:fill="FFFFFF"/>
        </w:rPr>
        <w:t>5</w:t>
      </w:r>
      <w:r w:rsidRPr="00874B1F">
        <w:rPr>
          <w:rFonts w:cstheme="minorHAnsi"/>
          <w:color w:val="303030"/>
          <w:shd w:val="clear" w:color="auto" w:fill="FFFFFF"/>
        </w:rPr>
        <w:t>(3), 110–121. doi:10.1177/1941874415578532</w:t>
      </w:r>
    </w:p>
    <w:p w14:paraId="5223D933" w14:textId="5635F2AE" w:rsidR="003B228B" w:rsidRPr="006E06D1" w:rsidRDefault="003B228B" w:rsidP="006E06D1">
      <w:pPr>
        <w:pStyle w:val="Bibliography"/>
        <w:spacing w:after="0"/>
        <w:rPr>
          <w:rFonts w:cstheme="minorHAnsi"/>
          <w:noProof/>
        </w:rPr>
      </w:pPr>
      <w:r w:rsidRPr="00874B1F">
        <w:rPr>
          <w:rFonts w:cstheme="minorHAnsi"/>
          <w:vertAlign w:val="superscript"/>
        </w:rPr>
        <w:t>9</w:t>
      </w:r>
      <w:r w:rsidRPr="00874B1F">
        <w:rPr>
          <w:rFonts w:cstheme="minorHAnsi"/>
        </w:rPr>
        <w:t xml:space="preserve"> </w:t>
      </w:r>
      <w:r w:rsidRPr="00874B1F">
        <w:rPr>
          <w:rFonts w:cstheme="minorHAnsi"/>
          <w:noProof/>
        </w:rPr>
        <w:t xml:space="preserve">Jauch, E. (2019). </w:t>
      </w:r>
      <w:r w:rsidRPr="00874B1F">
        <w:rPr>
          <w:rFonts w:cstheme="minorHAnsi"/>
          <w:i/>
          <w:iCs/>
          <w:noProof/>
        </w:rPr>
        <w:t>Stroke Clinical Presentation</w:t>
      </w:r>
      <w:r w:rsidRPr="00874B1F">
        <w:rPr>
          <w:rFonts w:cstheme="minorHAnsi"/>
          <w:noProof/>
        </w:rPr>
        <w:t>. Retrieved from Medscape:</w:t>
      </w:r>
      <w:r w:rsidR="006E06D1">
        <w:rPr>
          <w:rFonts w:cstheme="minorHAnsi"/>
          <w:noProof/>
        </w:rPr>
        <w:t xml:space="preserve"> </w:t>
      </w:r>
      <w:hyperlink r:id="rId41" w:history="1">
        <w:r w:rsidR="006E06D1" w:rsidRPr="006E06D1">
          <w:rPr>
            <w:rStyle w:val="Hyperlink"/>
            <w:rFonts w:cstheme="minorHAnsi"/>
            <w:noProof/>
          </w:rPr>
          <w:t>https://emedicine.medscape.com/article/1916852-clinical</w:t>
        </w:r>
      </w:hyperlink>
      <w:r w:rsidRPr="006E06D1">
        <w:rPr>
          <w:rFonts w:cstheme="minorHAnsi"/>
          <w:noProof/>
        </w:rPr>
        <w:t xml:space="preserve"> </w:t>
      </w:r>
    </w:p>
    <w:p w14:paraId="695520BF" w14:textId="74C4FE28" w:rsidR="00874B1F" w:rsidRPr="00D94772" w:rsidRDefault="00D94772" w:rsidP="006E06D1">
      <w:pPr>
        <w:pStyle w:val="TextOPHIE"/>
        <w:rPr>
          <w:rFonts w:asciiTheme="minorHAnsi" w:hAnsiTheme="minorHAnsi" w:cstheme="minorHAnsi"/>
          <w:color w:val="000000"/>
          <w:sz w:val="22"/>
          <w:szCs w:val="22"/>
          <w:shd w:val="clear" w:color="auto" w:fill="FFFFFF"/>
        </w:rPr>
      </w:pPr>
      <w:r w:rsidRPr="00D94772">
        <w:rPr>
          <w:rStyle w:val="Hyperlink"/>
          <w:rFonts w:asciiTheme="minorHAnsi" w:hAnsiTheme="minorHAnsi" w:cstheme="minorHAnsi"/>
          <w:color w:val="auto"/>
          <w:sz w:val="22"/>
          <w:szCs w:val="22"/>
          <w:u w:val="none"/>
          <w:vertAlign w:val="superscript"/>
        </w:rPr>
        <w:t xml:space="preserve">10 </w:t>
      </w:r>
      <w:r w:rsidR="00102D64" w:rsidRPr="00D94772">
        <w:rPr>
          <w:rFonts w:asciiTheme="minorHAnsi" w:hAnsiTheme="minorHAnsi" w:cstheme="minorHAnsi"/>
          <w:color w:val="000000"/>
          <w:sz w:val="22"/>
          <w:szCs w:val="22"/>
          <w:shd w:val="clear" w:color="auto" w:fill="FFFFFF"/>
        </w:rPr>
        <w:t xml:space="preserve">Benjamin EJ, Blaha MJ, </w:t>
      </w:r>
      <w:proofErr w:type="spellStart"/>
      <w:r w:rsidR="00102D64" w:rsidRPr="00D94772">
        <w:rPr>
          <w:rFonts w:asciiTheme="minorHAnsi" w:hAnsiTheme="minorHAnsi" w:cstheme="minorHAnsi"/>
          <w:color w:val="000000"/>
          <w:sz w:val="22"/>
          <w:szCs w:val="22"/>
          <w:shd w:val="clear" w:color="auto" w:fill="FFFFFF"/>
        </w:rPr>
        <w:t>Chiuve</w:t>
      </w:r>
      <w:proofErr w:type="spellEnd"/>
      <w:r w:rsidR="00102D64" w:rsidRPr="00D94772">
        <w:rPr>
          <w:rFonts w:asciiTheme="minorHAnsi" w:hAnsiTheme="minorHAnsi" w:cstheme="minorHAnsi"/>
          <w:color w:val="000000"/>
          <w:sz w:val="22"/>
          <w:szCs w:val="22"/>
          <w:shd w:val="clear" w:color="auto" w:fill="FFFFFF"/>
        </w:rPr>
        <w:t xml:space="preserve"> SE, et al. </w:t>
      </w:r>
      <w:r w:rsidRPr="009401A8">
        <w:rPr>
          <w:rFonts w:asciiTheme="minorHAnsi" w:hAnsiTheme="minorHAnsi" w:cstheme="minorHAnsi"/>
          <w:color w:val="323232"/>
          <w:sz w:val="22"/>
          <w:szCs w:val="22"/>
          <w:shd w:val="clear" w:color="auto" w:fill="FFFFFF"/>
        </w:rPr>
        <w:t>(201</w:t>
      </w:r>
      <w:r>
        <w:rPr>
          <w:rFonts w:asciiTheme="minorHAnsi" w:hAnsiTheme="minorHAnsi" w:cstheme="minorHAnsi"/>
          <w:color w:val="323232"/>
          <w:sz w:val="22"/>
          <w:szCs w:val="22"/>
          <w:shd w:val="clear" w:color="auto" w:fill="FFFFFF"/>
        </w:rPr>
        <w:t>7</w:t>
      </w:r>
      <w:r w:rsidRPr="009401A8">
        <w:rPr>
          <w:rFonts w:asciiTheme="minorHAnsi" w:hAnsiTheme="minorHAnsi" w:cstheme="minorHAnsi"/>
          <w:color w:val="323232"/>
          <w:sz w:val="22"/>
          <w:szCs w:val="22"/>
          <w:shd w:val="clear" w:color="auto" w:fill="FFFFFF"/>
        </w:rPr>
        <w:t xml:space="preserve">). </w:t>
      </w:r>
      <w:r w:rsidR="00102D64" w:rsidRPr="00D94772">
        <w:rPr>
          <w:rFonts w:asciiTheme="minorHAnsi" w:hAnsiTheme="minorHAnsi" w:cstheme="minorHAnsi"/>
          <w:color w:val="000000"/>
          <w:sz w:val="22"/>
          <w:szCs w:val="22"/>
          <w:shd w:val="clear" w:color="auto" w:fill="FFFFFF"/>
        </w:rPr>
        <w:t>on behalf of the American Heart Association Statistics Committee and Stroke Statistics Subcommittee. Heart disease and stroke statistics—2017 update: a report from the American Heart Association. </w:t>
      </w:r>
      <w:r w:rsidR="00102D64" w:rsidRPr="00D94772">
        <w:rPr>
          <w:rStyle w:val="Emphasis"/>
          <w:rFonts w:asciiTheme="minorHAnsi" w:hAnsiTheme="minorHAnsi" w:cstheme="minorHAnsi"/>
          <w:color w:val="000000"/>
          <w:sz w:val="22"/>
          <w:szCs w:val="22"/>
          <w:shd w:val="clear" w:color="auto" w:fill="FFFFFF"/>
        </w:rPr>
        <w:t>Circulation</w:t>
      </w:r>
      <w:r w:rsidR="00102D64" w:rsidRPr="00D94772">
        <w:rPr>
          <w:rFonts w:asciiTheme="minorHAnsi" w:hAnsiTheme="minorHAnsi" w:cstheme="minorHAnsi"/>
          <w:color w:val="000000"/>
          <w:sz w:val="22"/>
          <w:szCs w:val="22"/>
          <w:shd w:val="clear" w:color="auto" w:fill="FFFFFF"/>
        </w:rPr>
        <w:t>. 2017;</w:t>
      </w:r>
      <w:proofErr w:type="gramStart"/>
      <w:r w:rsidR="00102D64" w:rsidRPr="00D94772">
        <w:rPr>
          <w:rFonts w:asciiTheme="minorHAnsi" w:hAnsiTheme="minorHAnsi" w:cstheme="minorHAnsi"/>
          <w:color w:val="000000"/>
          <w:sz w:val="22"/>
          <w:szCs w:val="22"/>
          <w:shd w:val="clear" w:color="auto" w:fill="FFFFFF"/>
        </w:rPr>
        <w:t>135:e</w:t>
      </w:r>
      <w:proofErr w:type="gramEnd"/>
      <w:r w:rsidR="00102D64" w:rsidRPr="00D94772">
        <w:rPr>
          <w:rFonts w:asciiTheme="minorHAnsi" w:hAnsiTheme="minorHAnsi" w:cstheme="minorHAnsi"/>
          <w:color w:val="000000"/>
          <w:sz w:val="22"/>
          <w:szCs w:val="22"/>
          <w:shd w:val="clear" w:color="auto" w:fill="FFFFFF"/>
        </w:rPr>
        <w:t>229-e445.</w:t>
      </w:r>
    </w:p>
    <w:p w14:paraId="57CED1B8" w14:textId="568343AE" w:rsidR="00D94772" w:rsidRDefault="00D94772" w:rsidP="00D94772">
      <w:pPr>
        <w:pStyle w:val="TextOPHIE"/>
      </w:pPr>
      <w:r w:rsidRPr="00D94772">
        <w:rPr>
          <w:rStyle w:val="Hyperlink"/>
          <w:rFonts w:asciiTheme="minorHAnsi" w:hAnsiTheme="minorHAnsi" w:cstheme="minorHAnsi"/>
          <w:color w:val="auto"/>
          <w:sz w:val="22"/>
          <w:szCs w:val="22"/>
          <w:u w:val="none"/>
          <w:vertAlign w:val="superscript"/>
        </w:rPr>
        <w:t>11</w:t>
      </w:r>
      <w:r>
        <w:rPr>
          <w:rStyle w:val="Hyperlink"/>
          <w:rFonts w:asciiTheme="minorHAnsi" w:hAnsiTheme="minorHAnsi" w:cstheme="minorHAnsi"/>
          <w:color w:val="auto"/>
          <w:sz w:val="22"/>
          <w:szCs w:val="22"/>
          <w:u w:val="none"/>
          <w:vertAlign w:val="superscript"/>
        </w:rPr>
        <w:t xml:space="preserve"> </w:t>
      </w:r>
      <w:r w:rsidRPr="009401A8">
        <w:rPr>
          <w:rFonts w:asciiTheme="minorHAnsi" w:hAnsiTheme="minorHAnsi" w:cstheme="minorHAnsi"/>
          <w:color w:val="323232"/>
          <w:sz w:val="22"/>
          <w:szCs w:val="22"/>
          <w:shd w:val="clear" w:color="auto" w:fill="FFFFFF"/>
        </w:rPr>
        <w:t xml:space="preserve">Ekundayo, O. J., </w:t>
      </w:r>
      <w:r>
        <w:rPr>
          <w:rFonts w:asciiTheme="minorHAnsi" w:hAnsiTheme="minorHAnsi" w:cstheme="minorHAnsi"/>
          <w:color w:val="323232"/>
          <w:sz w:val="22"/>
          <w:szCs w:val="22"/>
          <w:shd w:val="clear" w:color="auto" w:fill="FFFFFF"/>
        </w:rPr>
        <w:t xml:space="preserve">et al. </w:t>
      </w:r>
      <w:r w:rsidRPr="009401A8">
        <w:rPr>
          <w:rFonts w:asciiTheme="minorHAnsi" w:hAnsiTheme="minorHAnsi" w:cstheme="minorHAnsi"/>
          <w:color w:val="323232"/>
          <w:sz w:val="22"/>
          <w:szCs w:val="22"/>
          <w:shd w:val="clear" w:color="auto" w:fill="FFFFFF"/>
        </w:rPr>
        <w:t xml:space="preserve">(2013). Patterns of Emergency Medical Services Use and Its Association </w:t>
      </w:r>
      <w:proofErr w:type="gramStart"/>
      <w:r w:rsidRPr="009401A8">
        <w:rPr>
          <w:rFonts w:asciiTheme="minorHAnsi" w:hAnsiTheme="minorHAnsi" w:cstheme="minorHAnsi"/>
          <w:color w:val="323232"/>
          <w:sz w:val="22"/>
          <w:szCs w:val="22"/>
          <w:shd w:val="clear" w:color="auto" w:fill="FFFFFF"/>
        </w:rPr>
        <w:t>With</w:t>
      </w:r>
      <w:proofErr w:type="gramEnd"/>
      <w:r w:rsidRPr="009401A8">
        <w:rPr>
          <w:rFonts w:asciiTheme="minorHAnsi" w:hAnsiTheme="minorHAnsi" w:cstheme="minorHAnsi"/>
          <w:color w:val="323232"/>
          <w:sz w:val="22"/>
          <w:szCs w:val="22"/>
          <w:shd w:val="clear" w:color="auto" w:fill="FFFFFF"/>
        </w:rPr>
        <w:t xml:space="preserve"> Timely Stroke Treatment. Retrieved from </w:t>
      </w:r>
      <w:hyperlink r:id="rId42" w:history="1">
        <w:r w:rsidRPr="009401A8">
          <w:rPr>
            <w:rStyle w:val="Hyperlink"/>
            <w:rFonts w:asciiTheme="minorHAnsi" w:hAnsiTheme="minorHAnsi" w:cstheme="minorHAnsi"/>
            <w:sz w:val="22"/>
            <w:szCs w:val="22"/>
          </w:rPr>
          <w:t>https://www.ahajournals.org/doi/full/10.1161/circoutcomes.113.000089</w:t>
        </w:r>
      </w:hyperlink>
    </w:p>
    <w:p w14:paraId="36C4F774" w14:textId="0A392CAB" w:rsidR="00B96DFA" w:rsidRPr="00B96DFA" w:rsidRDefault="00331308" w:rsidP="00B96DFA">
      <w:pPr>
        <w:pStyle w:val="FootnoteText"/>
      </w:pPr>
      <w:r w:rsidRPr="00D94772">
        <w:rPr>
          <w:rStyle w:val="Hyperlink"/>
          <w:rFonts w:asciiTheme="minorHAnsi" w:hAnsiTheme="minorHAnsi" w:cstheme="minorHAnsi"/>
          <w:color w:val="auto"/>
          <w:sz w:val="22"/>
          <w:szCs w:val="22"/>
          <w:u w:val="none"/>
          <w:vertAlign w:val="superscript"/>
        </w:rPr>
        <w:t>1</w:t>
      </w:r>
      <w:r>
        <w:rPr>
          <w:rStyle w:val="Hyperlink"/>
          <w:rFonts w:asciiTheme="minorHAnsi" w:hAnsiTheme="minorHAnsi" w:cstheme="minorHAnsi"/>
          <w:color w:val="auto"/>
          <w:sz w:val="22"/>
          <w:szCs w:val="22"/>
          <w:u w:val="none"/>
          <w:vertAlign w:val="superscript"/>
        </w:rPr>
        <w:t xml:space="preserve">2 </w:t>
      </w:r>
      <w:r w:rsidRPr="00874B1F">
        <w:rPr>
          <w:rFonts w:asciiTheme="minorHAnsi" w:hAnsiTheme="minorHAnsi" w:cstheme="minorHAnsi"/>
          <w:sz w:val="22"/>
          <w:szCs w:val="22"/>
        </w:rPr>
        <w:t xml:space="preserve">Murphy SL, X.J. (2018). </w:t>
      </w:r>
      <w:r w:rsidRPr="00874B1F">
        <w:rPr>
          <w:rFonts w:asciiTheme="minorHAnsi" w:hAnsiTheme="minorHAnsi" w:cstheme="minorHAnsi"/>
          <w:i/>
          <w:sz w:val="22"/>
          <w:szCs w:val="22"/>
        </w:rPr>
        <w:t>Mortality in the United States, 2017, NCHS Data Brief.</w:t>
      </w:r>
      <w:r w:rsidRPr="00874B1F">
        <w:rPr>
          <w:rFonts w:asciiTheme="minorHAnsi" w:hAnsiTheme="minorHAnsi" w:cstheme="minorHAnsi"/>
          <w:sz w:val="22"/>
          <w:szCs w:val="22"/>
        </w:rPr>
        <w:t xml:space="preserve"> Hyattsville, MD: National Center for Health Statistics. </w:t>
      </w:r>
    </w:p>
    <w:sectPr w:rsidR="00B96DFA" w:rsidRPr="00B96DFA" w:rsidSect="00162E09">
      <w:type w:val="continuous"/>
      <w:pgSz w:w="12240" w:h="15840"/>
      <w:pgMar w:top="720" w:right="792" w:bottom="720" w:left="792"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Taliman Afroz" w:date="2021-04-20T13:32:00Z" w:initials="TA">
    <w:p w14:paraId="349A8B90" w14:textId="77777777" w:rsidR="00B96DFA" w:rsidRDefault="00B96DFA" w:rsidP="00B96DFA">
      <w:pPr>
        <w:pStyle w:val="CommentText"/>
      </w:pPr>
      <w:r>
        <w:rPr>
          <w:rStyle w:val="CommentReference"/>
        </w:rPr>
        <w:annotationRef/>
      </w:r>
      <w:r>
        <w:t>This needs to be reworded. Not making much sense.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9A8B9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95654" w16cex:dateUtc="2021-04-20T2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9A8B90" w16cid:durableId="242956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A0584" w14:textId="77777777" w:rsidR="002F0F61" w:rsidRDefault="002F0F61" w:rsidP="00DF5ED5">
      <w:pPr>
        <w:spacing w:after="0" w:line="240" w:lineRule="auto"/>
      </w:pPr>
      <w:r>
        <w:separator/>
      </w:r>
    </w:p>
  </w:endnote>
  <w:endnote w:type="continuationSeparator" w:id="0">
    <w:p w14:paraId="7A49BF36" w14:textId="77777777" w:rsidR="002F0F61" w:rsidRDefault="002F0F61" w:rsidP="00DF5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A191" w14:textId="34B3BD83" w:rsidR="002F0F61" w:rsidRDefault="002F0F61" w:rsidP="006F3331">
    <w:pPr>
      <w:pStyle w:val="Footer"/>
      <w:jc w:val="right"/>
      <w:rPr>
        <w:color w:val="5B9BD5" w:themeColor="accent1"/>
      </w:rPr>
    </w:pPr>
    <w:r>
      <w:rPr>
        <w:color w:val="5B9BD5" w:themeColor="accent1"/>
      </w:rPr>
      <w:t xml:space="preserve">Page 1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Pr>
        <w:noProof/>
        <w:color w:val="5B9BD5" w:themeColor="accent1"/>
      </w:rPr>
      <w:t>2</w:t>
    </w:r>
    <w:r>
      <w:rPr>
        <w:color w:val="5B9BD5" w:themeColor="accent1"/>
      </w:rPr>
      <w:fldChar w:fldCharType="end"/>
    </w:r>
  </w:p>
  <w:p w14:paraId="1056419F" w14:textId="77777777" w:rsidR="002F0F61" w:rsidRDefault="002F0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988839"/>
      <w:docPartObj>
        <w:docPartGallery w:val="Page Numbers (Bottom of Page)"/>
        <w:docPartUnique/>
      </w:docPartObj>
    </w:sdtPr>
    <w:sdtEndPr>
      <w:rPr>
        <w:noProof/>
      </w:rPr>
    </w:sdtEndPr>
    <w:sdtContent>
      <w:p w14:paraId="069E056B" w14:textId="179D6D71" w:rsidR="00070E53" w:rsidRPr="00070E53" w:rsidRDefault="00070E53" w:rsidP="00070E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3A0AA" w14:textId="77777777" w:rsidR="002F0F61" w:rsidRDefault="002F0F61" w:rsidP="00DF5ED5">
      <w:pPr>
        <w:spacing w:after="0" w:line="240" w:lineRule="auto"/>
      </w:pPr>
      <w:r>
        <w:separator/>
      </w:r>
    </w:p>
  </w:footnote>
  <w:footnote w:type="continuationSeparator" w:id="0">
    <w:p w14:paraId="37BE2F1F" w14:textId="77777777" w:rsidR="002F0F61" w:rsidRDefault="002F0F61" w:rsidP="00DF5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54A1"/>
    <w:multiLevelType w:val="hybridMultilevel"/>
    <w:tmpl w:val="BCA0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85C07"/>
    <w:multiLevelType w:val="hybridMultilevel"/>
    <w:tmpl w:val="70A87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6D3623"/>
    <w:multiLevelType w:val="hybridMultilevel"/>
    <w:tmpl w:val="32BA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5299A"/>
    <w:multiLevelType w:val="hybridMultilevel"/>
    <w:tmpl w:val="4A086D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D7AB2"/>
    <w:multiLevelType w:val="hybridMultilevel"/>
    <w:tmpl w:val="B3A66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44B21"/>
    <w:multiLevelType w:val="hybridMultilevel"/>
    <w:tmpl w:val="49D02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C13E6"/>
    <w:multiLevelType w:val="hybridMultilevel"/>
    <w:tmpl w:val="474CB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64EFB"/>
    <w:multiLevelType w:val="hybridMultilevel"/>
    <w:tmpl w:val="78026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0559DD"/>
    <w:multiLevelType w:val="hybridMultilevel"/>
    <w:tmpl w:val="61B61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C452F"/>
    <w:multiLevelType w:val="hybridMultilevel"/>
    <w:tmpl w:val="9A8ED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410AB"/>
    <w:multiLevelType w:val="hybridMultilevel"/>
    <w:tmpl w:val="34CE2410"/>
    <w:lvl w:ilvl="0" w:tplc="8ED2B3A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CF16C3"/>
    <w:multiLevelType w:val="hybridMultilevel"/>
    <w:tmpl w:val="CB4C9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B65611"/>
    <w:multiLevelType w:val="hybridMultilevel"/>
    <w:tmpl w:val="EDCC5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9F5569"/>
    <w:multiLevelType w:val="hybridMultilevel"/>
    <w:tmpl w:val="A3C4FF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9864E8"/>
    <w:multiLevelType w:val="hybridMultilevel"/>
    <w:tmpl w:val="B148C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990DBA"/>
    <w:multiLevelType w:val="hybridMultilevel"/>
    <w:tmpl w:val="4A341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194057"/>
    <w:multiLevelType w:val="hybridMultilevel"/>
    <w:tmpl w:val="3B5E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2C3EFF"/>
    <w:multiLevelType w:val="hybridMultilevel"/>
    <w:tmpl w:val="AFEEB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753D4D"/>
    <w:multiLevelType w:val="hybridMultilevel"/>
    <w:tmpl w:val="CE94A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F92959"/>
    <w:multiLevelType w:val="hybridMultilevel"/>
    <w:tmpl w:val="CE005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667D93"/>
    <w:multiLevelType w:val="hybridMultilevel"/>
    <w:tmpl w:val="A4E8D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9"/>
  </w:num>
  <w:num w:numId="4">
    <w:abstractNumId w:val="11"/>
  </w:num>
  <w:num w:numId="5">
    <w:abstractNumId w:val="17"/>
  </w:num>
  <w:num w:numId="6">
    <w:abstractNumId w:val="18"/>
  </w:num>
  <w:num w:numId="7">
    <w:abstractNumId w:val="20"/>
  </w:num>
  <w:num w:numId="8">
    <w:abstractNumId w:val="15"/>
  </w:num>
  <w:num w:numId="9">
    <w:abstractNumId w:val="12"/>
  </w:num>
  <w:num w:numId="10">
    <w:abstractNumId w:val="4"/>
  </w:num>
  <w:num w:numId="11">
    <w:abstractNumId w:val="10"/>
  </w:num>
  <w:num w:numId="12">
    <w:abstractNumId w:val="7"/>
  </w:num>
  <w:num w:numId="13">
    <w:abstractNumId w:val="2"/>
  </w:num>
  <w:num w:numId="14">
    <w:abstractNumId w:val="3"/>
  </w:num>
  <w:num w:numId="15">
    <w:abstractNumId w:val="16"/>
  </w:num>
  <w:num w:numId="16">
    <w:abstractNumId w:val="13"/>
  </w:num>
  <w:num w:numId="17">
    <w:abstractNumId w:val="0"/>
  </w:num>
  <w:num w:numId="18">
    <w:abstractNumId w:val="8"/>
  </w:num>
  <w:num w:numId="19">
    <w:abstractNumId w:val="14"/>
  </w:num>
  <w:num w:numId="20">
    <w:abstractNumId w:val="1"/>
  </w:num>
  <w:num w:numId="21">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liman Afroz">
    <w15:presenceInfo w15:providerId="AD" w15:userId="S::tafroz@health.nv.gov::05025344-3f6e-4bba-9d2e-9c10d3048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MzMxsDCzMDc1NjVV0lEKTi0uzszPAykwMq4FAGEs1dEtAAAA"/>
  </w:docVars>
  <w:rsids>
    <w:rsidRoot w:val="00DF5ED5"/>
    <w:rsid w:val="000009E8"/>
    <w:rsid w:val="00001FF2"/>
    <w:rsid w:val="000021EF"/>
    <w:rsid w:val="000023E0"/>
    <w:rsid w:val="0000242E"/>
    <w:rsid w:val="00003C28"/>
    <w:rsid w:val="00003CAC"/>
    <w:rsid w:val="0000414D"/>
    <w:rsid w:val="00004D32"/>
    <w:rsid w:val="00004F3C"/>
    <w:rsid w:val="0000546E"/>
    <w:rsid w:val="00005885"/>
    <w:rsid w:val="00006C76"/>
    <w:rsid w:val="00006DE6"/>
    <w:rsid w:val="000077A6"/>
    <w:rsid w:val="0001069C"/>
    <w:rsid w:val="00010CAB"/>
    <w:rsid w:val="00012459"/>
    <w:rsid w:val="00012A98"/>
    <w:rsid w:val="00012D99"/>
    <w:rsid w:val="0001395D"/>
    <w:rsid w:val="00013E51"/>
    <w:rsid w:val="000178C2"/>
    <w:rsid w:val="00017957"/>
    <w:rsid w:val="00020A40"/>
    <w:rsid w:val="000211D9"/>
    <w:rsid w:val="000220B7"/>
    <w:rsid w:val="00022244"/>
    <w:rsid w:val="00022CC9"/>
    <w:rsid w:val="0002498C"/>
    <w:rsid w:val="00024B80"/>
    <w:rsid w:val="00024B83"/>
    <w:rsid w:val="000252A6"/>
    <w:rsid w:val="00025960"/>
    <w:rsid w:val="00025AB2"/>
    <w:rsid w:val="00025CEA"/>
    <w:rsid w:val="00027210"/>
    <w:rsid w:val="00027761"/>
    <w:rsid w:val="000278C4"/>
    <w:rsid w:val="00032551"/>
    <w:rsid w:val="000342DA"/>
    <w:rsid w:val="0003471F"/>
    <w:rsid w:val="00037F67"/>
    <w:rsid w:val="00040228"/>
    <w:rsid w:val="00040780"/>
    <w:rsid w:val="000413BA"/>
    <w:rsid w:val="000421AA"/>
    <w:rsid w:val="00044C55"/>
    <w:rsid w:val="000450A9"/>
    <w:rsid w:val="00045459"/>
    <w:rsid w:val="0004668A"/>
    <w:rsid w:val="00046B3E"/>
    <w:rsid w:val="00046DCA"/>
    <w:rsid w:val="00047716"/>
    <w:rsid w:val="00047ACF"/>
    <w:rsid w:val="00050360"/>
    <w:rsid w:val="00051AA9"/>
    <w:rsid w:val="00051EC1"/>
    <w:rsid w:val="0005213C"/>
    <w:rsid w:val="0005397F"/>
    <w:rsid w:val="00054C36"/>
    <w:rsid w:val="00054D43"/>
    <w:rsid w:val="00054F55"/>
    <w:rsid w:val="00055427"/>
    <w:rsid w:val="00056399"/>
    <w:rsid w:val="00056769"/>
    <w:rsid w:val="00056C83"/>
    <w:rsid w:val="000609A2"/>
    <w:rsid w:val="0006233A"/>
    <w:rsid w:val="0006355D"/>
    <w:rsid w:val="000650A8"/>
    <w:rsid w:val="00065926"/>
    <w:rsid w:val="00065E25"/>
    <w:rsid w:val="00066559"/>
    <w:rsid w:val="00066721"/>
    <w:rsid w:val="00067750"/>
    <w:rsid w:val="00067A96"/>
    <w:rsid w:val="00070D10"/>
    <w:rsid w:val="00070E53"/>
    <w:rsid w:val="000718DB"/>
    <w:rsid w:val="00071B29"/>
    <w:rsid w:val="00072D2B"/>
    <w:rsid w:val="00073404"/>
    <w:rsid w:val="00074322"/>
    <w:rsid w:val="00074EB9"/>
    <w:rsid w:val="0007772C"/>
    <w:rsid w:val="00077800"/>
    <w:rsid w:val="00077AEA"/>
    <w:rsid w:val="000808C1"/>
    <w:rsid w:val="00080DB3"/>
    <w:rsid w:val="00082A72"/>
    <w:rsid w:val="00083931"/>
    <w:rsid w:val="00083BD2"/>
    <w:rsid w:val="00085F59"/>
    <w:rsid w:val="000870BE"/>
    <w:rsid w:val="000878F7"/>
    <w:rsid w:val="00087EC2"/>
    <w:rsid w:val="00090114"/>
    <w:rsid w:val="000901FF"/>
    <w:rsid w:val="00090273"/>
    <w:rsid w:val="000903E9"/>
    <w:rsid w:val="00090F75"/>
    <w:rsid w:val="00092FA2"/>
    <w:rsid w:val="00093916"/>
    <w:rsid w:val="00094446"/>
    <w:rsid w:val="00095CC6"/>
    <w:rsid w:val="000970AA"/>
    <w:rsid w:val="0009727F"/>
    <w:rsid w:val="00097E6E"/>
    <w:rsid w:val="00097F80"/>
    <w:rsid w:val="000A092E"/>
    <w:rsid w:val="000A108C"/>
    <w:rsid w:val="000A1E94"/>
    <w:rsid w:val="000A231F"/>
    <w:rsid w:val="000A2495"/>
    <w:rsid w:val="000A42BA"/>
    <w:rsid w:val="000A42C7"/>
    <w:rsid w:val="000A4335"/>
    <w:rsid w:val="000A4984"/>
    <w:rsid w:val="000A57A6"/>
    <w:rsid w:val="000A66AC"/>
    <w:rsid w:val="000A76AC"/>
    <w:rsid w:val="000B1656"/>
    <w:rsid w:val="000B252D"/>
    <w:rsid w:val="000B6A45"/>
    <w:rsid w:val="000B7B5C"/>
    <w:rsid w:val="000B7F58"/>
    <w:rsid w:val="000C1839"/>
    <w:rsid w:val="000C1930"/>
    <w:rsid w:val="000C1D79"/>
    <w:rsid w:val="000C20A9"/>
    <w:rsid w:val="000C2225"/>
    <w:rsid w:val="000C3086"/>
    <w:rsid w:val="000C5974"/>
    <w:rsid w:val="000C695C"/>
    <w:rsid w:val="000C6D01"/>
    <w:rsid w:val="000C7604"/>
    <w:rsid w:val="000C7CE1"/>
    <w:rsid w:val="000D0305"/>
    <w:rsid w:val="000D28E5"/>
    <w:rsid w:val="000D30D8"/>
    <w:rsid w:val="000D4145"/>
    <w:rsid w:val="000D6DDB"/>
    <w:rsid w:val="000E04A4"/>
    <w:rsid w:val="000E183D"/>
    <w:rsid w:val="000E195E"/>
    <w:rsid w:val="000E4AA0"/>
    <w:rsid w:val="000E4BD9"/>
    <w:rsid w:val="000E4DD2"/>
    <w:rsid w:val="000E5148"/>
    <w:rsid w:val="000E542E"/>
    <w:rsid w:val="000E5AF4"/>
    <w:rsid w:val="000E61A4"/>
    <w:rsid w:val="000E62DA"/>
    <w:rsid w:val="000E661F"/>
    <w:rsid w:val="000E6808"/>
    <w:rsid w:val="000F1502"/>
    <w:rsid w:val="000F2B6B"/>
    <w:rsid w:val="000F30BA"/>
    <w:rsid w:val="000F4A3F"/>
    <w:rsid w:val="000F5170"/>
    <w:rsid w:val="000F6739"/>
    <w:rsid w:val="000F6D0C"/>
    <w:rsid w:val="000F7342"/>
    <w:rsid w:val="000F7A6E"/>
    <w:rsid w:val="00100346"/>
    <w:rsid w:val="00101A2E"/>
    <w:rsid w:val="00101A80"/>
    <w:rsid w:val="00101AB3"/>
    <w:rsid w:val="00102D64"/>
    <w:rsid w:val="00103545"/>
    <w:rsid w:val="00103669"/>
    <w:rsid w:val="00103C93"/>
    <w:rsid w:val="00103DEA"/>
    <w:rsid w:val="001045A8"/>
    <w:rsid w:val="0010492D"/>
    <w:rsid w:val="0010496C"/>
    <w:rsid w:val="001056F5"/>
    <w:rsid w:val="00106510"/>
    <w:rsid w:val="00106D7F"/>
    <w:rsid w:val="00107664"/>
    <w:rsid w:val="001078E1"/>
    <w:rsid w:val="00110742"/>
    <w:rsid w:val="00110ACD"/>
    <w:rsid w:val="00110ECA"/>
    <w:rsid w:val="00111BC2"/>
    <w:rsid w:val="0011268A"/>
    <w:rsid w:val="0011513F"/>
    <w:rsid w:val="0011580C"/>
    <w:rsid w:val="00116F84"/>
    <w:rsid w:val="00120DB1"/>
    <w:rsid w:val="00121023"/>
    <w:rsid w:val="00121F64"/>
    <w:rsid w:val="001222E1"/>
    <w:rsid w:val="00125331"/>
    <w:rsid w:val="00126A9D"/>
    <w:rsid w:val="00126EBB"/>
    <w:rsid w:val="00130DBE"/>
    <w:rsid w:val="00131440"/>
    <w:rsid w:val="00131991"/>
    <w:rsid w:val="00131A73"/>
    <w:rsid w:val="00132527"/>
    <w:rsid w:val="001330F8"/>
    <w:rsid w:val="00134761"/>
    <w:rsid w:val="00134855"/>
    <w:rsid w:val="00134927"/>
    <w:rsid w:val="00135645"/>
    <w:rsid w:val="001357CF"/>
    <w:rsid w:val="001359B3"/>
    <w:rsid w:val="00135E53"/>
    <w:rsid w:val="00137797"/>
    <w:rsid w:val="00137BB8"/>
    <w:rsid w:val="00137C22"/>
    <w:rsid w:val="00137E20"/>
    <w:rsid w:val="0014090C"/>
    <w:rsid w:val="001409E7"/>
    <w:rsid w:val="00140ADF"/>
    <w:rsid w:val="001412FD"/>
    <w:rsid w:val="0014153E"/>
    <w:rsid w:val="0014228A"/>
    <w:rsid w:val="00142363"/>
    <w:rsid w:val="001430F7"/>
    <w:rsid w:val="00143EB6"/>
    <w:rsid w:val="00144BE8"/>
    <w:rsid w:val="00146376"/>
    <w:rsid w:val="00151AFB"/>
    <w:rsid w:val="001528EF"/>
    <w:rsid w:val="00152A06"/>
    <w:rsid w:val="00154126"/>
    <w:rsid w:val="00154F26"/>
    <w:rsid w:val="00155E8F"/>
    <w:rsid w:val="001565B4"/>
    <w:rsid w:val="00157BD8"/>
    <w:rsid w:val="00160171"/>
    <w:rsid w:val="00160680"/>
    <w:rsid w:val="001609E4"/>
    <w:rsid w:val="00160C5C"/>
    <w:rsid w:val="00161AE9"/>
    <w:rsid w:val="00161FDE"/>
    <w:rsid w:val="00162BDE"/>
    <w:rsid w:val="00162D9A"/>
    <w:rsid w:val="00162E09"/>
    <w:rsid w:val="0016322E"/>
    <w:rsid w:val="001634EB"/>
    <w:rsid w:val="00163E0E"/>
    <w:rsid w:val="00163E3D"/>
    <w:rsid w:val="001643EB"/>
    <w:rsid w:val="00165832"/>
    <w:rsid w:val="00165910"/>
    <w:rsid w:val="00165AA4"/>
    <w:rsid w:val="0016670C"/>
    <w:rsid w:val="00166750"/>
    <w:rsid w:val="0016742D"/>
    <w:rsid w:val="00171215"/>
    <w:rsid w:val="00172260"/>
    <w:rsid w:val="001724F9"/>
    <w:rsid w:val="00172E07"/>
    <w:rsid w:val="00172E8D"/>
    <w:rsid w:val="001737B3"/>
    <w:rsid w:val="00173985"/>
    <w:rsid w:val="001745CD"/>
    <w:rsid w:val="00174638"/>
    <w:rsid w:val="001746F5"/>
    <w:rsid w:val="00174AE1"/>
    <w:rsid w:val="00174E69"/>
    <w:rsid w:val="00174FA5"/>
    <w:rsid w:val="001752A6"/>
    <w:rsid w:val="00175DAF"/>
    <w:rsid w:val="00176F14"/>
    <w:rsid w:val="0017741F"/>
    <w:rsid w:val="0017758F"/>
    <w:rsid w:val="00180AE7"/>
    <w:rsid w:val="00181E4D"/>
    <w:rsid w:val="00182BD6"/>
    <w:rsid w:val="00182D9D"/>
    <w:rsid w:val="00183232"/>
    <w:rsid w:val="0018370E"/>
    <w:rsid w:val="00183C47"/>
    <w:rsid w:val="00183F45"/>
    <w:rsid w:val="00184F3D"/>
    <w:rsid w:val="001853F6"/>
    <w:rsid w:val="0018561D"/>
    <w:rsid w:val="00191057"/>
    <w:rsid w:val="001925F3"/>
    <w:rsid w:val="001927FB"/>
    <w:rsid w:val="00192B14"/>
    <w:rsid w:val="00192BC3"/>
    <w:rsid w:val="00193348"/>
    <w:rsid w:val="001937FC"/>
    <w:rsid w:val="00194A29"/>
    <w:rsid w:val="00194B64"/>
    <w:rsid w:val="00195A4D"/>
    <w:rsid w:val="00195B9C"/>
    <w:rsid w:val="001A03C1"/>
    <w:rsid w:val="001A0B3E"/>
    <w:rsid w:val="001A2AF6"/>
    <w:rsid w:val="001A3C4B"/>
    <w:rsid w:val="001A40D4"/>
    <w:rsid w:val="001A40F9"/>
    <w:rsid w:val="001A479A"/>
    <w:rsid w:val="001A60FB"/>
    <w:rsid w:val="001A707C"/>
    <w:rsid w:val="001B03B7"/>
    <w:rsid w:val="001B11B1"/>
    <w:rsid w:val="001B1268"/>
    <w:rsid w:val="001B243C"/>
    <w:rsid w:val="001B3C83"/>
    <w:rsid w:val="001B40DA"/>
    <w:rsid w:val="001B476A"/>
    <w:rsid w:val="001B4943"/>
    <w:rsid w:val="001B54F3"/>
    <w:rsid w:val="001B6A40"/>
    <w:rsid w:val="001B6B88"/>
    <w:rsid w:val="001B70DB"/>
    <w:rsid w:val="001B77E1"/>
    <w:rsid w:val="001C0263"/>
    <w:rsid w:val="001C134E"/>
    <w:rsid w:val="001C13BE"/>
    <w:rsid w:val="001C19BD"/>
    <w:rsid w:val="001C207F"/>
    <w:rsid w:val="001C39B9"/>
    <w:rsid w:val="001C495A"/>
    <w:rsid w:val="001C55BD"/>
    <w:rsid w:val="001C5789"/>
    <w:rsid w:val="001C5F07"/>
    <w:rsid w:val="001C77DB"/>
    <w:rsid w:val="001D020A"/>
    <w:rsid w:val="001D1522"/>
    <w:rsid w:val="001D2178"/>
    <w:rsid w:val="001D3D53"/>
    <w:rsid w:val="001D583E"/>
    <w:rsid w:val="001D5B56"/>
    <w:rsid w:val="001D6A3E"/>
    <w:rsid w:val="001E25F2"/>
    <w:rsid w:val="001E354A"/>
    <w:rsid w:val="001E3F4E"/>
    <w:rsid w:val="001E4178"/>
    <w:rsid w:val="001E4290"/>
    <w:rsid w:val="001E5903"/>
    <w:rsid w:val="001E5E3A"/>
    <w:rsid w:val="001E5FC6"/>
    <w:rsid w:val="001E6E25"/>
    <w:rsid w:val="001E6E30"/>
    <w:rsid w:val="001E6E45"/>
    <w:rsid w:val="001E6F77"/>
    <w:rsid w:val="001E760F"/>
    <w:rsid w:val="001E7791"/>
    <w:rsid w:val="001F0152"/>
    <w:rsid w:val="001F02DB"/>
    <w:rsid w:val="001F0ED6"/>
    <w:rsid w:val="001F1053"/>
    <w:rsid w:val="001F13AF"/>
    <w:rsid w:val="001F2ECE"/>
    <w:rsid w:val="001F3C0B"/>
    <w:rsid w:val="001F40EE"/>
    <w:rsid w:val="001F4CD4"/>
    <w:rsid w:val="001F634C"/>
    <w:rsid w:val="001F69E0"/>
    <w:rsid w:val="0020104E"/>
    <w:rsid w:val="0020211F"/>
    <w:rsid w:val="00205A10"/>
    <w:rsid w:val="00206216"/>
    <w:rsid w:val="002067AE"/>
    <w:rsid w:val="002068D6"/>
    <w:rsid w:val="00207041"/>
    <w:rsid w:val="00207814"/>
    <w:rsid w:val="002103A0"/>
    <w:rsid w:val="00210991"/>
    <w:rsid w:val="00211391"/>
    <w:rsid w:val="002116B3"/>
    <w:rsid w:val="00211E9E"/>
    <w:rsid w:val="0021209B"/>
    <w:rsid w:val="00212D54"/>
    <w:rsid w:val="00212E4C"/>
    <w:rsid w:val="00213E19"/>
    <w:rsid w:val="00214E61"/>
    <w:rsid w:val="0021602C"/>
    <w:rsid w:val="00216D98"/>
    <w:rsid w:val="00220377"/>
    <w:rsid w:val="00220D7B"/>
    <w:rsid w:val="002213C2"/>
    <w:rsid w:val="00225608"/>
    <w:rsid w:val="0022563F"/>
    <w:rsid w:val="00225C5A"/>
    <w:rsid w:val="00226247"/>
    <w:rsid w:val="002271EF"/>
    <w:rsid w:val="00227CFD"/>
    <w:rsid w:val="0023180C"/>
    <w:rsid w:val="00232CB4"/>
    <w:rsid w:val="002330AE"/>
    <w:rsid w:val="00234E03"/>
    <w:rsid w:val="002351E0"/>
    <w:rsid w:val="0023578A"/>
    <w:rsid w:val="00235F34"/>
    <w:rsid w:val="00236465"/>
    <w:rsid w:val="0023654F"/>
    <w:rsid w:val="00236840"/>
    <w:rsid w:val="0023734D"/>
    <w:rsid w:val="00237B26"/>
    <w:rsid w:val="00237CC0"/>
    <w:rsid w:val="002419D9"/>
    <w:rsid w:val="00246222"/>
    <w:rsid w:val="00246749"/>
    <w:rsid w:val="00246E0D"/>
    <w:rsid w:val="002473CF"/>
    <w:rsid w:val="002511D5"/>
    <w:rsid w:val="002511EC"/>
    <w:rsid w:val="00252A13"/>
    <w:rsid w:val="0025381F"/>
    <w:rsid w:val="0025384A"/>
    <w:rsid w:val="00253966"/>
    <w:rsid w:val="00254505"/>
    <w:rsid w:val="00254F1D"/>
    <w:rsid w:val="0025509D"/>
    <w:rsid w:val="00256983"/>
    <w:rsid w:val="00256AD1"/>
    <w:rsid w:val="00257F3D"/>
    <w:rsid w:val="002602B1"/>
    <w:rsid w:val="00261C49"/>
    <w:rsid w:val="002625B6"/>
    <w:rsid w:val="00263C4E"/>
    <w:rsid w:val="00263FA9"/>
    <w:rsid w:val="0026437F"/>
    <w:rsid w:val="00267E14"/>
    <w:rsid w:val="002712C3"/>
    <w:rsid w:val="00272F5A"/>
    <w:rsid w:val="0027339B"/>
    <w:rsid w:val="00273DDC"/>
    <w:rsid w:val="00276AA3"/>
    <w:rsid w:val="00276AF1"/>
    <w:rsid w:val="00277CBB"/>
    <w:rsid w:val="00277D32"/>
    <w:rsid w:val="0028177D"/>
    <w:rsid w:val="00281C84"/>
    <w:rsid w:val="002826BF"/>
    <w:rsid w:val="002835B6"/>
    <w:rsid w:val="00283CF4"/>
    <w:rsid w:val="00286009"/>
    <w:rsid w:val="00286360"/>
    <w:rsid w:val="002866BA"/>
    <w:rsid w:val="002870CB"/>
    <w:rsid w:val="002874DB"/>
    <w:rsid w:val="00290AF4"/>
    <w:rsid w:val="00290EC2"/>
    <w:rsid w:val="0029323D"/>
    <w:rsid w:val="002941D0"/>
    <w:rsid w:val="00294424"/>
    <w:rsid w:val="002952C2"/>
    <w:rsid w:val="0029603E"/>
    <w:rsid w:val="002965B0"/>
    <w:rsid w:val="00296DF3"/>
    <w:rsid w:val="00296F52"/>
    <w:rsid w:val="00297537"/>
    <w:rsid w:val="002975CA"/>
    <w:rsid w:val="00297E2C"/>
    <w:rsid w:val="002A0006"/>
    <w:rsid w:val="002A073C"/>
    <w:rsid w:val="002A083D"/>
    <w:rsid w:val="002A08C6"/>
    <w:rsid w:val="002A0ED3"/>
    <w:rsid w:val="002A17DC"/>
    <w:rsid w:val="002A4319"/>
    <w:rsid w:val="002B0A93"/>
    <w:rsid w:val="002B10EB"/>
    <w:rsid w:val="002B129D"/>
    <w:rsid w:val="002B1414"/>
    <w:rsid w:val="002B1552"/>
    <w:rsid w:val="002B3551"/>
    <w:rsid w:val="002B389B"/>
    <w:rsid w:val="002B4528"/>
    <w:rsid w:val="002B4FA2"/>
    <w:rsid w:val="002B550F"/>
    <w:rsid w:val="002B55A1"/>
    <w:rsid w:val="002B5C49"/>
    <w:rsid w:val="002B6A10"/>
    <w:rsid w:val="002B7420"/>
    <w:rsid w:val="002B7DB2"/>
    <w:rsid w:val="002C11F1"/>
    <w:rsid w:val="002C2729"/>
    <w:rsid w:val="002C2950"/>
    <w:rsid w:val="002C2F59"/>
    <w:rsid w:val="002C2FA0"/>
    <w:rsid w:val="002C3580"/>
    <w:rsid w:val="002C3951"/>
    <w:rsid w:val="002C3EDE"/>
    <w:rsid w:val="002C46B0"/>
    <w:rsid w:val="002C5047"/>
    <w:rsid w:val="002C5281"/>
    <w:rsid w:val="002C63BE"/>
    <w:rsid w:val="002C7DD6"/>
    <w:rsid w:val="002D23EE"/>
    <w:rsid w:val="002D275F"/>
    <w:rsid w:val="002D3412"/>
    <w:rsid w:val="002D3B3A"/>
    <w:rsid w:val="002D4004"/>
    <w:rsid w:val="002D4067"/>
    <w:rsid w:val="002D41E5"/>
    <w:rsid w:val="002D4439"/>
    <w:rsid w:val="002D4AC4"/>
    <w:rsid w:val="002D4EEF"/>
    <w:rsid w:val="002D5D6B"/>
    <w:rsid w:val="002D601E"/>
    <w:rsid w:val="002D68FD"/>
    <w:rsid w:val="002D69EC"/>
    <w:rsid w:val="002D6B22"/>
    <w:rsid w:val="002D6DB3"/>
    <w:rsid w:val="002D7BFA"/>
    <w:rsid w:val="002E1B85"/>
    <w:rsid w:val="002E1D9C"/>
    <w:rsid w:val="002E2347"/>
    <w:rsid w:val="002E2684"/>
    <w:rsid w:val="002E2B94"/>
    <w:rsid w:val="002E3AB7"/>
    <w:rsid w:val="002E3CF3"/>
    <w:rsid w:val="002E4368"/>
    <w:rsid w:val="002E5F72"/>
    <w:rsid w:val="002E7B25"/>
    <w:rsid w:val="002F0F61"/>
    <w:rsid w:val="002F3197"/>
    <w:rsid w:val="002F3463"/>
    <w:rsid w:val="002F35CD"/>
    <w:rsid w:val="002F3E7E"/>
    <w:rsid w:val="002F5815"/>
    <w:rsid w:val="002F58B4"/>
    <w:rsid w:val="002F6A2F"/>
    <w:rsid w:val="002F70CB"/>
    <w:rsid w:val="002F7100"/>
    <w:rsid w:val="002F7589"/>
    <w:rsid w:val="002F76A9"/>
    <w:rsid w:val="00301379"/>
    <w:rsid w:val="0030195F"/>
    <w:rsid w:val="0030234D"/>
    <w:rsid w:val="00303D50"/>
    <w:rsid w:val="00304AED"/>
    <w:rsid w:val="003054B7"/>
    <w:rsid w:val="003057EF"/>
    <w:rsid w:val="003065EB"/>
    <w:rsid w:val="0030716B"/>
    <w:rsid w:val="0030727A"/>
    <w:rsid w:val="003073A8"/>
    <w:rsid w:val="00310043"/>
    <w:rsid w:val="00311019"/>
    <w:rsid w:val="003128D1"/>
    <w:rsid w:val="00312FE2"/>
    <w:rsid w:val="003130DB"/>
    <w:rsid w:val="00314EEE"/>
    <w:rsid w:val="0031597C"/>
    <w:rsid w:val="00315ECD"/>
    <w:rsid w:val="0031604E"/>
    <w:rsid w:val="003163A7"/>
    <w:rsid w:val="00316E73"/>
    <w:rsid w:val="00316FDF"/>
    <w:rsid w:val="003179EC"/>
    <w:rsid w:val="00317EA9"/>
    <w:rsid w:val="003206B4"/>
    <w:rsid w:val="00320D81"/>
    <w:rsid w:val="00320F30"/>
    <w:rsid w:val="003216E3"/>
    <w:rsid w:val="00321F32"/>
    <w:rsid w:val="00322BB1"/>
    <w:rsid w:val="0032369D"/>
    <w:rsid w:val="00323AF0"/>
    <w:rsid w:val="00326831"/>
    <w:rsid w:val="003269BC"/>
    <w:rsid w:val="003306A6"/>
    <w:rsid w:val="00331308"/>
    <w:rsid w:val="003320B7"/>
    <w:rsid w:val="00332658"/>
    <w:rsid w:val="00332CC9"/>
    <w:rsid w:val="00332FE2"/>
    <w:rsid w:val="00333649"/>
    <w:rsid w:val="003336DB"/>
    <w:rsid w:val="003342BA"/>
    <w:rsid w:val="003357F8"/>
    <w:rsid w:val="00335A74"/>
    <w:rsid w:val="00335EE7"/>
    <w:rsid w:val="00336B77"/>
    <w:rsid w:val="003374D2"/>
    <w:rsid w:val="00340277"/>
    <w:rsid w:val="003432D5"/>
    <w:rsid w:val="00343E09"/>
    <w:rsid w:val="003440A9"/>
    <w:rsid w:val="003448CB"/>
    <w:rsid w:val="00344CE6"/>
    <w:rsid w:val="0034562A"/>
    <w:rsid w:val="00345692"/>
    <w:rsid w:val="00345842"/>
    <w:rsid w:val="00345929"/>
    <w:rsid w:val="00345DD5"/>
    <w:rsid w:val="00345E5D"/>
    <w:rsid w:val="0034627D"/>
    <w:rsid w:val="00347615"/>
    <w:rsid w:val="003478B0"/>
    <w:rsid w:val="00347DDD"/>
    <w:rsid w:val="003532A1"/>
    <w:rsid w:val="0035339D"/>
    <w:rsid w:val="0035470D"/>
    <w:rsid w:val="00354E26"/>
    <w:rsid w:val="0035617B"/>
    <w:rsid w:val="003567EA"/>
    <w:rsid w:val="0036212F"/>
    <w:rsid w:val="003631F4"/>
    <w:rsid w:val="003636BB"/>
    <w:rsid w:val="00365A4C"/>
    <w:rsid w:val="00366DD2"/>
    <w:rsid w:val="0036733E"/>
    <w:rsid w:val="003708C0"/>
    <w:rsid w:val="00370AEC"/>
    <w:rsid w:val="003720D8"/>
    <w:rsid w:val="00372FE9"/>
    <w:rsid w:val="00374239"/>
    <w:rsid w:val="0037522E"/>
    <w:rsid w:val="00375486"/>
    <w:rsid w:val="0037698D"/>
    <w:rsid w:val="003816E8"/>
    <w:rsid w:val="00382527"/>
    <w:rsid w:val="00382651"/>
    <w:rsid w:val="003857AB"/>
    <w:rsid w:val="0038657C"/>
    <w:rsid w:val="0038704A"/>
    <w:rsid w:val="003878CB"/>
    <w:rsid w:val="0039003B"/>
    <w:rsid w:val="00391F42"/>
    <w:rsid w:val="003927D2"/>
    <w:rsid w:val="00393DD6"/>
    <w:rsid w:val="00396AE9"/>
    <w:rsid w:val="00397261"/>
    <w:rsid w:val="0039784A"/>
    <w:rsid w:val="003A1308"/>
    <w:rsid w:val="003A21F6"/>
    <w:rsid w:val="003A2299"/>
    <w:rsid w:val="003A3369"/>
    <w:rsid w:val="003A379C"/>
    <w:rsid w:val="003A37B2"/>
    <w:rsid w:val="003A4F05"/>
    <w:rsid w:val="003A53A4"/>
    <w:rsid w:val="003A6159"/>
    <w:rsid w:val="003A7093"/>
    <w:rsid w:val="003B059A"/>
    <w:rsid w:val="003B0752"/>
    <w:rsid w:val="003B0A20"/>
    <w:rsid w:val="003B15E1"/>
    <w:rsid w:val="003B228B"/>
    <w:rsid w:val="003B23B9"/>
    <w:rsid w:val="003B2517"/>
    <w:rsid w:val="003B3327"/>
    <w:rsid w:val="003B389B"/>
    <w:rsid w:val="003B3ADE"/>
    <w:rsid w:val="003B673E"/>
    <w:rsid w:val="003B76A7"/>
    <w:rsid w:val="003C07B7"/>
    <w:rsid w:val="003C0DCC"/>
    <w:rsid w:val="003C119F"/>
    <w:rsid w:val="003C2A66"/>
    <w:rsid w:val="003C342D"/>
    <w:rsid w:val="003C3784"/>
    <w:rsid w:val="003C453C"/>
    <w:rsid w:val="003C4BBB"/>
    <w:rsid w:val="003C5C75"/>
    <w:rsid w:val="003C700C"/>
    <w:rsid w:val="003D04F9"/>
    <w:rsid w:val="003D10A3"/>
    <w:rsid w:val="003D30BF"/>
    <w:rsid w:val="003D3C21"/>
    <w:rsid w:val="003D4084"/>
    <w:rsid w:val="003D44A8"/>
    <w:rsid w:val="003D463B"/>
    <w:rsid w:val="003D5CA9"/>
    <w:rsid w:val="003D64C6"/>
    <w:rsid w:val="003D6809"/>
    <w:rsid w:val="003D7133"/>
    <w:rsid w:val="003D7A24"/>
    <w:rsid w:val="003E12FD"/>
    <w:rsid w:val="003E2590"/>
    <w:rsid w:val="003E2987"/>
    <w:rsid w:val="003E30BE"/>
    <w:rsid w:val="003E36BC"/>
    <w:rsid w:val="003E39AA"/>
    <w:rsid w:val="003E4A99"/>
    <w:rsid w:val="003E4AD7"/>
    <w:rsid w:val="003E4B06"/>
    <w:rsid w:val="003E535A"/>
    <w:rsid w:val="003E60EB"/>
    <w:rsid w:val="003E6671"/>
    <w:rsid w:val="003E75C5"/>
    <w:rsid w:val="003F004D"/>
    <w:rsid w:val="003F0131"/>
    <w:rsid w:val="003F0737"/>
    <w:rsid w:val="003F20B9"/>
    <w:rsid w:val="003F282B"/>
    <w:rsid w:val="003F303D"/>
    <w:rsid w:val="003F3EF7"/>
    <w:rsid w:val="003F5274"/>
    <w:rsid w:val="003F5749"/>
    <w:rsid w:val="003F585B"/>
    <w:rsid w:val="003F5E8A"/>
    <w:rsid w:val="003F7392"/>
    <w:rsid w:val="0040032D"/>
    <w:rsid w:val="00400435"/>
    <w:rsid w:val="00402407"/>
    <w:rsid w:val="0040388B"/>
    <w:rsid w:val="00403DF7"/>
    <w:rsid w:val="00403EA7"/>
    <w:rsid w:val="00404231"/>
    <w:rsid w:val="00404361"/>
    <w:rsid w:val="004058EC"/>
    <w:rsid w:val="00405DA7"/>
    <w:rsid w:val="00406D7E"/>
    <w:rsid w:val="0041071B"/>
    <w:rsid w:val="00411B1A"/>
    <w:rsid w:val="004122D5"/>
    <w:rsid w:val="004128B3"/>
    <w:rsid w:val="0041377B"/>
    <w:rsid w:val="00413980"/>
    <w:rsid w:val="004157B4"/>
    <w:rsid w:val="004175CD"/>
    <w:rsid w:val="00417627"/>
    <w:rsid w:val="0042022F"/>
    <w:rsid w:val="004204F1"/>
    <w:rsid w:val="00420A92"/>
    <w:rsid w:val="00421382"/>
    <w:rsid w:val="00421DCE"/>
    <w:rsid w:val="004223AA"/>
    <w:rsid w:val="00422D4F"/>
    <w:rsid w:val="004245D6"/>
    <w:rsid w:val="00424A92"/>
    <w:rsid w:val="00426704"/>
    <w:rsid w:val="004268ED"/>
    <w:rsid w:val="00430236"/>
    <w:rsid w:val="00433706"/>
    <w:rsid w:val="004342A0"/>
    <w:rsid w:val="00434FC7"/>
    <w:rsid w:val="00435805"/>
    <w:rsid w:val="00435DC3"/>
    <w:rsid w:val="004377DB"/>
    <w:rsid w:val="00440D20"/>
    <w:rsid w:val="004418CF"/>
    <w:rsid w:val="0044253A"/>
    <w:rsid w:val="0044275C"/>
    <w:rsid w:val="004430A6"/>
    <w:rsid w:val="00443854"/>
    <w:rsid w:val="00444B30"/>
    <w:rsid w:val="00445007"/>
    <w:rsid w:val="004459F2"/>
    <w:rsid w:val="00445C91"/>
    <w:rsid w:val="00446240"/>
    <w:rsid w:val="004465EC"/>
    <w:rsid w:val="00450687"/>
    <w:rsid w:val="00451F03"/>
    <w:rsid w:val="0045300D"/>
    <w:rsid w:val="00454AF4"/>
    <w:rsid w:val="004609DE"/>
    <w:rsid w:val="00461F24"/>
    <w:rsid w:val="0046276D"/>
    <w:rsid w:val="00462B95"/>
    <w:rsid w:val="004643FB"/>
    <w:rsid w:val="00464DBB"/>
    <w:rsid w:val="00465834"/>
    <w:rsid w:val="00465D90"/>
    <w:rsid w:val="00466364"/>
    <w:rsid w:val="0047094C"/>
    <w:rsid w:val="004726DF"/>
    <w:rsid w:val="00472D4F"/>
    <w:rsid w:val="00472E27"/>
    <w:rsid w:val="00474EFE"/>
    <w:rsid w:val="00475C4A"/>
    <w:rsid w:val="00476E45"/>
    <w:rsid w:val="00477265"/>
    <w:rsid w:val="0047789E"/>
    <w:rsid w:val="0048053B"/>
    <w:rsid w:val="00480BCF"/>
    <w:rsid w:val="00480E7F"/>
    <w:rsid w:val="004819C9"/>
    <w:rsid w:val="00482509"/>
    <w:rsid w:val="00482A14"/>
    <w:rsid w:val="00482DC9"/>
    <w:rsid w:val="0048402F"/>
    <w:rsid w:val="0048508D"/>
    <w:rsid w:val="00485406"/>
    <w:rsid w:val="0048661E"/>
    <w:rsid w:val="00486EB3"/>
    <w:rsid w:val="0048706E"/>
    <w:rsid w:val="0048777E"/>
    <w:rsid w:val="00490D8C"/>
    <w:rsid w:val="00491313"/>
    <w:rsid w:val="00491C0A"/>
    <w:rsid w:val="0049204E"/>
    <w:rsid w:val="00493581"/>
    <w:rsid w:val="00493A50"/>
    <w:rsid w:val="00495EB9"/>
    <w:rsid w:val="00496380"/>
    <w:rsid w:val="00496C2A"/>
    <w:rsid w:val="00496CA2"/>
    <w:rsid w:val="004A019E"/>
    <w:rsid w:val="004A0A54"/>
    <w:rsid w:val="004A0FD9"/>
    <w:rsid w:val="004A105A"/>
    <w:rsid w:val="004A1E23"/>
    <w:rsid w:val="004A2F9A"/>
    <w:rsid w:val="004A36A1"/>
    <w:rsid w:val="004A4C0F"/>
    <w:rsid w:val="004A4C89"/>
    <w:rsid w:val="004A53BE"/>
    <w:rsid w:val="004A5795"/>
    <w:rsid w:val="004A6B11"/>
    <w:rsid w:val="004B00CE"/>
    <w:rsid w:val="004B0705"/>
    <w:rsid w:val="004B1D7A"/>
    <w:rsid w:val="004B235E"/>
    <w:rsid w:val="004B23AD"/>
    <w:rsid w:val="004B3282"/>
    <w:rsid w:val="004B3763"/>
    <w:rsid w:val="004B3C79"/>
    <w:rsid w:val="004B57B4"/>
    <w:rsid w:val="004C08F7"/>
    <w:rsid w:val="004C2EB4"/>
    <w:rsid w:val="004C34EE"/>
    <w:rsid w:val="004C4934"/>
    <w:rsid w:val="004C5144"/>
    <w:rsid w:val="004C58D9"/>
    <w:rsid w:val="004C6FAE"/>
    <w:rsid w:val="004C78D6"/>
    <w:rsid w:val="004C7BF3"/>
    <w:rsid w:val="004D246C"/>
    <w:rsid w:val="004D3D49"/>
    <w:rsid w:val="004D5DAF"/>
    <w:rsid w:val="004D67EC"/>
    <w:rsid w:val="004E2854"/>
    <w:rsid w:val="004E33E7"/>
    <w:rsid w:val="004E367A"/>
    <w:rsid w:val="004E381D"/>
    <w:rsid w:val="004E4223"/>
    <w:rsid w:val="004E4E82"/>
    <w:rsid w:val="004E5851"/>
    <w:rsid w:val="004E639A"/>
    <w:rsid w:val="004E654E"/>
    <w:rsid w:val="004E66E4"/>
    <w:rsid w:val="004E6CFF"/>
    <w:rsid w:val="004E7185"/>
    <w:rsid w:val="004E745E"/>
    <w:rsid w:val="004E7B8B"/>
    <w:rsid w:val="004E7D49"/>
    <w:rsid w:val="004F188B"/>
    <w:rsid w:val="004F18BC"/>
    <w:rsid w:val="004F2D0F"/>
    <w:rsid w:val="004F2E1B"/>
    <w:rsid w:val="004F3B9E"/>
    <w:rsid w:val="004F4182"/>
    <w:rsid w:val="004F422D"/>
    <w:rsid w:val="004F4576"/>
    <w:rsid w:val="004F46C1"/>
    <w:rsid w:val="004F4DDF"/>
    <w:rsid w:val="004F59FD"/>
    <w:rsid w:val="004F7E50"/>
    <w:rsid w:val="00501FA6"/>
    <w:rsid w:val="00502572"/>
    <w:rsid w:val="00502F1A"/>
    <w:rsid w:val="0050355F"/>
    <w:rsid w:val="00504628"/>
    <w:rsid w:val="0050535F"/>
    <w:rsid w:val="005063C6"/>
    <w:rsid w:val="00506725"/>
    <w:rsid w:val="005069DE"/>
    <w:rsid w:val="00506ABC"/>
    <w:rsid w:val="00506DC3"/>
    <w:rsid w:val="0050720C"/>
    <w:rsid w:val="00507BC2"/>
    <w:rsid w:val="0051055A"/>
    <w:rsid w:val="00510C2C"/>
    <w:rsid w:val="00511E81"/>
    <w:rsid w:val="00511EAA"/>
    <w:rsid w:val="00513284"/>
    <w:rsid w:val="00513ECD"/>
    <w:rsid w:val="00514DD8"/>
    <w:rsid w:val="00515210"/>
    <w:rsid w:val="00516AFE"/>
    <w:rsid w:val="00516C6D"/>
    <w:rsid w:val="00517292"/>
    <w:rsid w:val="005174BE"/>
    <w:rsid w:val="005174EC"/>
    <w:rsid w:val="005179B8"/>
    <w:rsid w:val="005205AA"/>
    <w:rsid w:val="00521C30"/>
    <w:rsid w:val="00521D9F"/>
    <w:rsid w:val="00521F55"/>
    <w:rsid w:val="005239C5"/>
    <w:rsid w:val="00525AB4"/>
    <w:rsid w:val="00526EB5"/>
    <w:rsid w:val="00526ED5"/>
    <w:rsid w:val="00530533"/>
    <w:rsid w:val="005307D8"/>
    <w:rsid w:val="005308BF"/>
    <w:rsid w:val="00530F42"/>
    <w:rsid w:val="00531CBB"/>
    <w:rsid w:val="00533C8E"/>
    <w:rsid w:val="00534905"/>
    <w:rsid w:val="00535BCF"/>
    <w:rsid w:val="00537272"/>
    <w:rsid w:val="005375F7"/>
    <w:rsid w:val="00541B10"/>
    <w:rsid w:val="0054363A"/>
    <w:rsid w:val="00544A26"/>
    <w:rsid w:val="005469C9"/>
    <w:rsid w:val="005470FA"/>
    <w:rsid w:val="005522F7"/>
    <w:rsid w:val="00553891"/>
    <w:rsid w:val="00554BDE"/>
    <w:rsid w:val="00555940"/>
    <w:rsid w:val="00555A0F"/>
    <w:rsid w:val="0055730A"/>
    <w:rsid w:val="005578EA"/>
    <w:rsid w:val="00557A69"/>
    <w:rsid w:val="00557E33"/>
    <w:rsid w:val="00560D1D"/>
    <w:rsid w:val="00561591"/>
    <w:rsid w:val="00562314"/>
    <w:rsid w:val="0056239A"/>
    <w:rsid w:val="00563203"/>
    <w:rsid w:val="00563314"/>
    <w:rsid w:val="00563DCE"/>
    <w:rsid w:val="005643AA"/>
    <w:rsid w:val="00564951"/>
    <w:rsid w:val="00566634"/>
    <w:rsid w:val="00567D2D"/>
    <w:rsid w:val="00567D88"/>
    <w:rsid w:val="00567E8A"/>
    <w:rsid w:val="0057086F"/>
    <w:rsid w:val="0057248F"/>
    <w:rsid w:val="005731E0"/>
    <w:rsid w:val="005736DB"/>
    <w:rsid w:val="00573DB2"/>
    <w:rsid w:val="00574225"/>
    <w:rsid w:val="00580977"/>
    <w:rsid w:val="005814B9"/>
    <w:rsid w:val="00581753"/>
    <w:rsid w:val="00581A28"/>
    <w:rsid w:val="00581C3B"/>
    <w:rsid w:val="00583823"/>
    <w:rsid w:val="00583B49"/>
    <w:rsid w:val="005842B3"/>
    <w:rsid w:val="00584B19"/>
    <w:rsid w:val="005854E9"/>
    <w:rsid w:val="00585F18"/>
    <w:rsid w:val="00586673"/>
    <w:rsid w:val="0058695F"/>
    <w:rsid w:val="0058759C"/>
    <w:rsid w:val="0058783C"/>
    <w:rsid w:val="00590B15"/>
    <w:rsid w:val="00590F3A"/>
    <w:rsid w:val="00592250"/>
    <w:rsid w:val="00595387"/>
    <w:rsid w:val="00595437"/>
    <w:rsid w:val="00595863"/>
    <w:rsid w:val="00595C9F"/>
    <w:rsid w:val="00597547"/>
    <w:rsid w:val="00597991"/>
    <w:rsid w:val="005A08C8"/>
    <w:rsid w:val="005A2A14"/>
    <w:rsid w:val="005A2DD9"/>
    <w:rsid w:val="005A33DF"/>
    <w:rsid w:val="005A39E6"/>
    <w:rsid w:val="005A3FE4"/>
    <w:rsid w:val="005A6F4E"/>
    <w:rsid w:val="005A7C5A"/>
    <w:rsid w:val="005B0117"/>
    <w:rsid w:val="005B034E"/>
    <w:rsid w:val="005B06BC"/>
    <w:rsid w:val="005B07D4"/>
    <w:rsid w:val="005B17A7"/>
    <w:rsid w:val="005B2179"/>
    <w:rsid w:val="005B2BB7"/>
    <w:rsid w:val="005B466B"/>
    <w:rsid w:val="005B562D"/>
    <w:rsid w:val="005B6034"/>
    <w:rsid w:val="005B7F2F"/>
    <w:rsid w:val="005C186A"/>
    <w:rsid w:val="005C1F27"/>
    <w:rsid w:val="005C20D7"/>
    <w:rsid w:val="005C3EEE"/>
    <w:rsid w:val="005C436A"/>
    <w:rsid w:val="005C43C3"/>
    <w:rsid w:val="005C50B0"/>
    <w:rsid w:val="005C5233"/>
    <w:rsid w:val="005C57C7"/>
    <w:rsid w:val="005C6739"/>
    <w:rsid w:val="005C6A6A"/>
    <w:rsid w:val="005C730D"/>
    <w:rsid w:val="005C7BE1"/>
    <w:rsid w:val="005D01F2"/>
    <w:rsid w:val="005D12F1"/>
    <w:rsid w:val="005D14B5"/>
    <w:rsid w:val="005D3613"/>
    <w:rsid w:val="005D3FBB"/>
    <w:rsid w:val="005D5542"/>
    <w:rsid w:val="005D64B6"/>
    <w:rsid w:val="005D70AA"/>
    <w:rsid w:val="005D70C0"/>
    <w:rsid w:val="005D72B7"/>
    <w:rsid w:val="005D7535"/>
    <w:rsid w:val="005D7901"/>
    <w:rsid w:val="005E0246"/>
    <w:rsid w:val="005E2035"/>
    <w:rsid w:val="005E29ED"/>
    <w:rsid w:val="005E2E9D"/>
    <w:rsid w:val="005E4B18"/>
    <w:rsid w:val="005E508D"/>
    <w:rsid w:val="005E59D7"/>
    <w:rsid w:val="005E659A"/>
    <w:rsid w:val="005E680C"/>
    <w:rsid w:val="005E75D2"/>
    <w:rsid w:val="005F0065"/>
    <w:rsid w:val="005F00AE"/>
    <w:rsid w:val="005F0723"/>
    <w:rsid w:val="005F3B47"/>
    <w:rsid w:val="005F4121"/>
    <w:rsid w:val="005F5A60"/>
    <w:rsid w:val="005F66EB"/>
    <w:rsid w:val="006006DC"/>
    <w:rsid w:val="006012B4"/>
    <w:rsid w:val="0060154E"/>
    <w:rsid w:val="006016A2"/>
    <w:rsid w:val="00602DD7"/>
    <w:rsid w:val="00604B42"/>
    <w:rsid w:val="00604FD2"/>
    <w:rsid w:val="00605193"/>
    <w:rsid w:val="0060539C"/>
    <w:rsid w:val="00605494"/>
    <w:rsid w:val="006057A8"/>
    <w:rsid w:val="00605CF5"/>
    <w:rsid w:val="006067D8"/>
    <w:rsid w:val="006068FD"/>
    <w:rsid w:val="00606D3E"/>
    <w:rsid w:val="0061192C"/>
    <w:rsid w:val="00611C50"/>
    <w:rsid w:val="00612AC2"/>
    <w:rsid w:val="00612C08"/>
    <w:rsid w:val="00612CFD"/>
    <w:rsid w:val="00612EE1"/>
    <w:rsid w:val="0061311B"/>
    <w:rsid w:val="00613F20"/>
    <w:rsid w:val="00614BC9"/>
    <w:rsid w:val="00615829"/>
    <w:rsid w:val="0061643D"/>
    <w:rsid w:val="00616850"/>
    <w:rsid w:val="006168F2"/>
    <w:rsid w:val="00616AAD"/>
    <w:rsid w:val="00617767"/>
    <w:rsid w:val="006177FA"/>
    <w:rsid w:val="00617D10"/>
    <w:rsid w:val="0062038A"/>
    <w:rsid w:val="00623408"/>
    <w:rsid w:val="006265DA"/>
    <w:rsid w:val="0062667D"/>
    <w:rsid w:val="0062680D"/>
    <w:rsid w:val="0062741A"/>
    <w:rsid w:val="006279CB"/>
    <w:rsid w:val="00631458"/>
    <w:rsid w:val="00631A57"/>
    <w:rsid w:val="006353A0"/>
    <w:rsid w:val="00636631"/>
    <w:rsid w:val="006372E2"/>
    <w:rsid w:val="00637BB2"/>
    <w:rsid w:val="00637E8E"/>
    <w:rsid w:val="00637EC4"/>
    <w:rsid w:val="00640DCC"/>
    <w:rsid w:val="00640E29"/>
    <w:rsid w:val="0064174F"/>
    <w:rsid w:val="006418AD"/>
    <w:rsid w:val="00642B76"/>
    <w:rsid w:val="006430FF"/>
    <w:rsid w:val="006432C7"/>
    <w:rsid w:val="006441EB"/>
    <w:rsid w:val="00644491"/>
    <w:rsid w:val="00644EB8"/>
    <w:rsid w:val="006456BC"/>
    <w:rsid w:val="0064602B"/>
    <w:rsid w:val="00646BA9"/>
    <w:rsid w:val="0064709F"/>
    <w:rsid w:val="006471C0"/>
    <w:rsid w:val="0064784A"/>
    <w:rsid w:val="006478AD"/>
    <w:rsid w:val="00651802"/>
    <w:rsid w:val="00651893"/>
    <w:rsid w:val="00653EFA"/>
    <w:rsid w:val="00654AD0"/>
    <w:rsid w:val="00654FC5"/>
    <w:rsid w:val="006556B6"/>
    <w:rsid w:val="00656EF4"/>
    <w:rsid w:val="00660355"/>
    <w:rsid w:val="00661BDE"/>
    <w:rsid w:val="006623C3"/>
    <w:rsid w:val="00662D91"/>
    <w:rsid w:val="00662DB9"/>
    <w:rsid w:val="00662E3D"/>
    <w:rsid w:val="0066301F"/>
    <w:rsid w:val="006655A8"/>
    <w:rsid w:val="006662F4"/>
    <w:rsid w:val="0066632D"/>
    <w:rsid w:val="00666A13"/>
    <w:rsid w:val="00666ABC"/>
    <w:rsid w:val="00666E74"/>
    <w:rsid w:val="006678F1"/>
    <w:rsid w:val="00667C43"/>
    <w:rsid w:val="00670861"/>
    <w:rsid w:val="00672440"/>
    <w:rsid w:val="0067333E"/>
    <w:rsid w:val="00675A5B"/>
    <w:rsid w:val="006800C3"/>
    <w:rsid w:val="00684DE4"/>
    <w:rsid w:val="00685AFE"/>
    <w:rsid w:val="00685DAF"/>
    <w:rsid w:val="0068718D"/>
    <w:rsid w:val="0068718F"/>
    <w:rsid w:val="006907DC"/>
    <w:rsid w:val="00690875"/>
    <w:rsid w:val="00690D2B"/>
    <w:rsid w:val="00691A7E"/>
    <w:rsid w:val="006921E4"/>
    <w:rsid w:val="0069387A"/>
    <w:rsid w:val="006946F0"/>
    <w:rsid w:val="00695207"/>
    <w:rsid w:val="006961B2"/>
    <w:rsid w:val="006A01B9"/>
    <w:rsid w:val="006A12C8"/>
    <w:rsid w:val="006A157A"/>
    <w:rsid w:val="006A209B"/>
    <w:rsid w:val="006A2452"/>
    <w:rsid w:val="006A2614"/>
    <w:rsid w:val="006A314E"/>
    <w:rsid w:val="006A39E5"/>
    <w:rsid w:val="006A4496"/>
    <w:rsid w:val="006A59A0"/>
    <w:rsid w:val="006A640B"/>
    <w:rsid w:val="006A6D2E"/>
    <w:rsid w:val="006B1B19"/>
    <w:rsid w:val="006B2488"/>
    <w:rsid w:val="006B4805"/>
    <w:rsid w:val="006B550D"/>
    <w:rsid w:val="006B7459"/>
    <w:rsid w:val="006B7B57"/>
    <w:rsid w:val="006C0A46"/>
    <w:rsid w:val="006C0E91"/>
    <w:rsid w:val="006C2C21"/>
    <w:rsid w:val="006C3155"/>
    <w:rsid w:val="006C4A29"/>
    <w:rsid w:val="006C508F"/>
    <w:rsid w:val="006C526E"/>
    <w:rsid w:val="006C61EE"/>
    <w:rsid w:val="006C7123"/>
    <w:rsid w:val="006C7D2D"/>
    <w:rsid w:val="006C7F72"/>
    <w:rsid w:val="006D0009"/>
    <w:rsid w:val="006D0313"/>
    <w:rsid w:val="006D0660"/>
    <w:rsid w:val="006D0ED2"/>
    <w:rsid w:val="006D1443"/>
    <w:rsid w:val="006D204A"/>
    <w:rsid w:val="006D2CAE"/>
    <w:rsid w:val="006D308A"/>
    <w:rsid w:val="006D3E86"/>
    <w:rsid w:val="006D3FBA"/>
    <w:rsid w:val="006D467E"/>
    <w:rsid w:val="006D4FA6"/>
    <w:rsid w:val="006D58AA"/>
    <w:rsid w:val="006D65C1"/>
    <w:rsid w:val="006D6DA2"/>
    <w:rsid w:val="006D7927"/>
    <w:rsid w:val="006D7E3A"/>
    <w:rsid w:val="006E06D1"/>
    <w:rsid w:val="006E0A08"/>
    <w:rsid w:val="006E1A62"/>
    <w:rsid w:val="006E201F"/>
    <w:rsid w:val="006E236F"/>
    <w:rsid w:val="006E28A9"/>
    <w:rsid w:val="006E2AA7"/>
    <w:rsid w:val="006E2D86"/>
    <w:rsid w:val="006E41D0"/>
    <w:rsid w:val="006E4740"/>
    <w:rsid w:val="006E485F"/>
    <w:rsid w:val="006E53A4"/>
    <w:rsid w:val="006E595F"/>
    <w:rsid w:val="006E6489"/>
    <w:rsid w:val="006E7794"/>
    <w:rsid w:val="006F18A5"/>
    <w:rsid w:val="006F3331"/>
    <w:rsid w:val="006F3700"/>
    <w:rsid w:val="006F3FF4"/>
    <w:rsid w:val="006F4DC2"/>
    <w:rsid w:val="006F529D"/>
    <w:rsid w:val="006F7C3F"/>
    <w:rsid w:val="0070013D"/>
    <w:rsid w:val="00700668"/>
    <w:rsid w:val="00702783"/>
    <w:rsid w:val="00703534"/>
    <w:rsid w:val="00703CD2"/>
    <w:rsid w:val="0070431E"/>
    <w:rsid w:val="007048DB"/>
    <w:rsid w:val="007052CD"/>
    <w:rsid w:val="00705359"/>
    <w:rsid w:val="00706F22"/>
    <w:rsid w:val="007072FA"/>
    <w:rsid w:val="007074BD"/>
    <w:rsid w:val="007102CD"/>
    <w:rsid w:val="0071034A"/>
    <w:rsid w:val="00710A48"/>
    <w:rsid w:val="00711409"/>
    <w:rsid w:val="00711BF8"/>
    <w:rsid w:val="007127E4"/>
    <w:rsid w:val="0071374A"/>
    <w:rsid w:val="00714120"/>
    <w:rsid w:val="00714DAE"/>
    <w:rsid w:val="00714EBC"/>
    <w:rsid w:val="0071553A"/>
    <w:rsid w:val="00715963"/>
    <w:rsid w:val="00716616"/>
    <w:rsid w:val="00716C5C"/>
    <w:rsid w:val="00716F54"/>
    <w:rsid w:val="00717266"/>
    <w:rsid w:val="00720449"/>
    <w:rsid w:val="0072152E"/>
    <w:rsid w:val="0072234C"/>
    <w:rsid w:val="00722909"/>
    <w:rsid w:val="0072301F"/>
    <w:rsid w:val="007240D5"/>
    <w:rsid w:val="00724BFA"/>
    <w:rsid w:val="007253C2"/>
    <w:rsid w:val="00726F20"/>
    <w:rsid w:val="00727666"/>
    <w:rsid w:val="00730D93"/>
    <w:rsid w:val="00731104"/>
    <w:rsid w:val="007312E8"/>
    <w:rsid w:val="00731A50"/>
    <w:rsid w:val="00732BB0"/>
    <w:rsid w:val="00734474"/>
    <w:rsid w:val="00734C3E"/>
    <w:rsid w:val="0073513F"/>
    <w:rsid w:val="007362E3"/>
    <w:rsid w:val="00736BC2"/>
    <w:rsid w:val="00737095"/>
    <w:rsid w:val="007371F9"/>
    <w:rsid w:val="007405AE"/>
    <w:rsid w:val="00740985"/>
    <w:rsid w:val="00740C48"/>
    <w:rsid w:val="007436BD"/>
    <w:rsid w:val="007438CE"/>
    <w:rsid w:val="00743C35"/>
    <w:rsid w:val="007440F0"/>
    <w:rsid w:val="00744305"/>
    <w:rsid w:val="00745087"/>
    <w:rsid w:val="007468D7"/>
    <w:rsid w:val="00747F3B"/>
    <w:rsid w:val="00750146"/>
    <w:rsid w:val="007518A2"/>
    <w:rsid w:val="00752918"/>
    <w:rsid w:val="00752A8F"/>
    <w:rsid w:val="00755DCE"/>
    <w:rsid w:val="00756971"/>
    <w:rsid w:val="00757F1A"/>
    <w:rsid w:val="00760193"/>
    <w:rsid w:val="00760C8D"/>
    <w:rsid w:val="00762A2E"/>
    <w:rsid w:val="00762B62"/>
    <w:rsid w:val="00762CF4"/>
    <w:rsid w:val="00765BA2"/>
    <w:rsid w:val="00765CC9"/>
    <w:rsid w:val="0076726E"/>
    <w:rsid w:val="007739FB"/>
    <w:rsid w:val="007756F3"/>
    <w:rsid w:val="00775989"/>
    <w:rsid w:val="00775CFC"/>
    <w:rsid w:val="0077619D"/>
    <w:rsid w:val="007767B6"/>
    <w:rsid w:val="00776C20"/>
    <w:rsid w:val="007779FB"/>
    <w:rsid w:val="00780C03"/>
    <w:rsid w:val="007815F5"/>
    <w:rsid w:val="007818DB"/>
    <w:rsid w:val="00781D9C"/>
    <w:rsid w:val="00781EDD"/>
    <w:rsid w:val="00782054"/>
    <w:rsid w:val="007831A8"/>
    <w:rsid w:val="00784109"/>
    <w:rsid w:val="0078449D"/>
    <w:rsid w:val="00785E3C"/>
    <w:rsid w:val="00786B98"/>
    <w:rsid w:val="007870CF"/>
    <w:rsid w:val="007906CC"/>
    <w:rsid w:val="00791D51"/>
    <w:rsid w:val="00792B88"/>
    <w:rsid w:val="007931D1"/>
    <w:rsid w:val="007932EE"/>
    <w:rsid w:val="00794CEF"/>
    <w:rsid w:val="00795E83"/>
    <w:rsid w:val="00796214"/>
    <w:rsid w:val="007979E6"/>
    <w:rsid w:val="007A02F2"/>
    <w:rsid w:val="007A0547"/>
    <w:rsid w:val="007A214C"/>
    <w:rsid w:val="007A3470"/>
    <w:rsid w:val="007A4231"/>
    <w:rsid w:val="007A4865"/>
    <w:rsid w:val="007A5251"/>
    <w:rsid w:val="007A5399"/>
    <w:rsid w:val="007A6148"/>
    <w:rsid w:val="007A728A"/>
    <w:rsid w:val="007A72B4"/>
    <w:rsid w:val="007A754B"/>
    <w:rsid w:val="007A7B01"/>
    <w:rsid w:val="007A7B8F"/>
    <w:rsid w:val="007B0434"/>
    <w:rsid w:val="007B056B"/>
    <w:rsid w:val="007B1258"/>
    <w:rsid w:val="007B1C63"/>
    <w:rsid w:val="007B4410"/>
    <w:rsid w:val="007B5F6B"/>
    <w:rsid w:val="007B7613"/>
    <w:rsid w:val="007B784E"/>
    <w:rsid w:val="007B78D3"/>
    <w:rsid w:val="007B7B5A"/>
    <w:rsid w:val="007B7C40"/>
    <w:rsid w:val="007C0CC2"/>
    <w:rsid w:val="007C1281"/>
    <w:rsid w:val="007C135A"/>
    <w:rsid w:val="007C22CA"/>
    <w:rsid w:val="007C2433"/>
    <w:rsid w:val="007C38AE"/>
    <w:rsid w:val="007C3A68"/>
    <w:rsid w:val="007C42FE"/>
    <w:rsid w:val="007C5468"/>
    <w:rsid w:val="007C55F2"/>
    <w:rsid w:val="007C6C46"/>
    <w:rsid w:val="007C6D88"/>
    <w:rsid w:val="007C6D8D"/>
    <w:rsid w:val="007D0417"/>
    <w:rsid w:val="007D09A9"/>
    <w:rsid w:val="007D0C50"/>
    <w:rsid w:val="007D1104"/>
    <w:rsid w:val="007D1CEE"/>
    <w:rsid w:val="007D2411"/>
    <w:rsid w:val="007D2669"/>
    <w:rsid w:val="007D2EED"/>
    <w:rsid w:val="007D46F0"/>
    <w:rsid w:val="007D4754"/>
    <w:rsid w:val="007D4803"/>
    <w:rsid w:val="007D7C24"/>
    <w:rsid w:val="007D7F18"/>
    <w:rsid w:val="007E1163"/>
    <w:rsid w:val="007E3222"/>
    <w:rsid w:val="007E40B0"/>
    <w:rsid w:val="007E4615"/>
    <w:rsid w:val="007E4A4A"/>
    <w:rsid w:val="007E5724"/>
    <w:rsid w:val="007E671E"/>
    <w:rsid w:val="007E6882"/>
    <w:rsid w:val="007E7DB2"/>
    <w:rsid w:val="007E7E96"/>
    <w:rsid w:val="007F01F7"/>
    <w:rsid w:val="007F25E0"/>
    <w:rsid w:val="007F2A16"/>
    <w:rsid w:val="007F2BEF"/>
    <w:rsid w:val="007F3240"/>
    <w:rsid w:val="007F4095"/>
    <w:rsid w:val="007F423F"/>
    <w:rsid w:val="007F559F"/>
    <w:rsid w:val="007F631A"/>
    <w:rsid w:val="007F6538"/>
    <w:rsid w:val="007F666F"/>
    <w:rsid w:val="007F74B1"/>
    <w:rsid w:val="007F78BF"/>
    <w:rsid w:val="007F7EBC"/>
    <w:rsid w:val="008008A7"/>
    <w:rsid w:val="00801711"/>
    <w:rsid w:val="00801770"/>
    <w:rsid w:val="00803937"/>
    <w:rsid w:val="0080437A"/>
    <w:rsid w:val="00804851"/>
    <w:rsid w:val="00804EFE"/>
    <w:rsid w:val="00805413"/>
    <w:rsid w:val="00805802"/>
    <w:rsid w:val="00806085"/>
    <w:rsid w:val="008079C0"/>
    <w:rsid w:val="0081075C"/>
    <w:rsid w:val="00810988"/>
    <w:rsid w:val="00810E26"/>
    <w:rsid w:val="00810EA7"/>
    <w:rsid w:val="00811744"/>
    <w:rsid w:val="00811A15"/>
    <w:rsid w:val="00811D88"/>
    <w:rsid w:val="00812071"/>
    <w:rsid w:val="00812596"/>
    <w:rsid w:val="008127EC"/>
    <w:rsid w:val="008128C3"/>
    <w:rsid w:val="0081296C"/>
    <w:rsid w:val="00812B1E"/>
    <w:rsid w:val="00816C20"/>
    <w:rsid w:val="00817BBE"/>
    <w:rsid w:val="00817BDB"/>
    <w:rsid w:val="00817CDC"/>
    <w:rsid w:val="00817D3C"/>
    <w:rsid w:val="0082144C"/>
    <w:rsid w:val="00821DAE"/>
    <w:rsid w:val="00821F75"/>
    <w:rsid w:val="0082268B"/>
    <w:rsid w:val="00822B94"/>
    <w:rsid w:val="008236F2"/>
    <w:rsid w:val="00823A25"/>
    <w:rsid w:val="00823CA7"/>
    <w:rsid w:val="00824143"/>
    <w:rsid w:val="00824BC2"/>
    <w:rsid w:val="0082567B"/>
    <w:rsid w:val="00825CB0"/>
    <w:rsid w:val="008269BA"/>
    <w:rsid w:val="00830CC6"/>
    <w:rsid w:val="00831FDA"/>
    <w:rsid w:val="008321BE"/>
    <w:rsid w:val="00832323"/>
    <w:rsid w:val="00832A8C"/>
    <w:rsid w:val="0083436E"/>
    <w:rsid w:val="00834998"/>
    <w:rsid w:val="00834D9F"/>
    <w:rsid w:val="00837224"/>
    <w:rsid w:val="00840337"/>
    <w:rsid w:val="00840479"/>
    <w:rsid w:val="00840F49"/>
    <w:rsid w:val="0084187A"/>
    <w:rsid w:val="00842527"/>
    <w:rsid w:val="008433FF"/>
    <w:rsid w:val="0084342B"/>
    <w:rsid w:val="00843AF3"/>
    <w:rsid w:val="0084485C"/>
    <w:rsid w:val="00844C51"/>
    <w:rsid w:val="00846E54"/>
    <w:rsid w:val="00850162"/>
    <w:rsid w:val="0085084E"/>
    <w:rsid w:val="00851E3F"/>
    <w:rsid w:val="008522FC"/>
    <w:rsid w:val="008528B4"/>
    <w:rsid w:val="00853F5D"/>
    <w:rsid w:val="00854497"/>
    <w:rsid w:val="008553FC"/>
    <w:rsid w:val="00855C08"/>
    <w:rsid w:val="0085613B"/>
    <w:rsid w:val="0085729B"/>
    <w:rsid w:val="00857A87"/>
    <w:rsid w:val="00857F81"/>
    <w:rsid w:val="00860884"/>
    <w:rsid w:val="0086165A"/>
    <w:rsid w:val="00863375"/>
    <w:rsid w:val="00864DB3"/>
    <w:rsid w:val="00865377"/>
    <w:rsid w:val="008658B3"/>
    <w:rsid w:val="008667D2"/>
    <w:rsid w:val="0086682E"/>
    <w:rsid w:val="008676AB"/>
    <w:rsid w:val="00867F75"/>
    <w:rsid w:val="0087063A"/>
    <w:rsid w:val="00870B86"/>
    <w:rsid w:val="008710B0"/>
    <w:rsid w:val="00871382"/>
    <w:rsid w:val="00872CBF"/>
    <w:rsid w:val="008741A3"/>
    <w:rsid w:val="00874B1F"/>
    <w:rsid w:val="00874E8A"/>
    <w:rsid w:val="0087577C"/>
    <w:rsid w:val="00875971"/>
    <w:rsid w:val="0087627C"/>
    <w:rsid w:val="008771C5"/>
    <w:rsid w:val="008775E9"/>
    <w:rsid w:val="00877C21"/>
    <w:rsid w:val="0088086B"/>
    <w:rsid w:val="00881DD1"/>
    <w:rsid w:val="00882B39"/>
    <w:rsid w:val="00883723"/>
    <w:rsid w:val="0088455F"/>
    <w:rsid w:val="008848C4"/>
    <w:rsid w:val="00885871"/>
    <w:rsid w:val="00887ED3"/>
    <w:rsid w:val="00890A13"/>
    <w:rsid w:val="00891007"/>
    <w:rsid w:val="00891BA8"/>
    <w:rsid w:val="008924B0"/>
    <w:rsid w:val="008924EF"/>
    <w:rsid w:val="00893099"/>
    <w:rsid w:val="00893E83"/>
    <w:rsid w:val="008950E8"/>
    <w:rsid w:val="008964E5"/>
    <w:rsid w:val="008966CE"/>
    <w:rsid w:val="00897340"/>
    <w:rsid w:val="008A03C2"/>
    <w:rsid w:val="008A0B1C"/>
    <w:rsid w:val="008A1EB1"/>
    <w:rsid w:val="008A21AB"/>
    <w:rsid w:val="008A2C30"/>
    <w:rsid w:val="008A33CF"/>
    <w:rsid w:val="008A36FE"/>
    <w:rsid w:val="008A39D3"/>
    <w:rsid w:val="008A5A84"/>
    <w:rsid w:val="008A5B55"/>
    <w:rsid w:val="008A671E"/>
    <w:rsid w:val="008A7AC7"/>
    <w:rsid w:val="008B0090"/>
    <w:rsid w:val="008B0485"/>
    <w:rsid w:val="008B073F"/>
    <w:rsid w:val="008B13E0"/>
    <w:rsid w:val="008B1549"/>
    <w:rsid w:val="008B166B"/>
    <w:rsid w:val="008B205D"/>
    <w:rsid w:val="008B265E"/>
    <w:rsid w:val="008B2B2D"/>
    <w:rsid w:val="008B2CC0"/>
    <w:rsid w:val="008B2ED4"/>
    <w:rsid w:val="008B2FC5"/>
    <w:rsid w:val="008B4489"/>
    <w:rsid w:val="008B4AEA"/>
    <w:rsid w:val="008B4B11"/>
    <w:rsid w:val="008B4C3A"/>
    <w:rsid w:val="008B66C3"/>
    <w:rsid w:val="008B6AB2"/>
    <w:rsid w:val="008B7B83"/>
    <w:rsid w:val="008C0238"/>
    <w:rsid w:val="008C032A"/>
    <w:rsid w:val="008C0ED1"/>
    <w:rsid w:val="008C18FF"/>
    <w:rsid w:val="008C21F1"/>
    <w:rsid w:val="008C29BE"/>
    <w:rsid w:val="008C345F"/>
    <w:rsid w:val="008C4E46"/>
    <w:rsid w:val="008C556E"/>
    <w:rsid w:val="008C6CE2"/>
    <w:rsid w:val="008C7965"/>
    <w:rsid w:val="008D08AD"/>
    <w:rsid w:val="008D1036"/>
    <w:rsid w:val="008D2B77"/>
    <w:rsid w:val="008D2F3A"/>
    <w:rsid w:val="008D3489"/>
    <w:rsid w:val="008D3650"/>
    <w:rsid w:val="008D3FB9"/>
    <w:rsid w:val="008D4EAC"/>
    <w:rsid w:val="008D4FCE"/>
    <w:rsid w:val="008D53DF"/>
    <w:rsid w:val="008D5567"/>
    <w:rsid w:val="008D60EA"/>
    <w:rsid w:val="008D61E1"/>
    <w:rsid w:val="008D6474"/>
    <w:rsid w:val="008D6A8A"/>
    <w:rsid w:val="008D6B73"/>
    <w:rsid w:val="008D762E"/>
    <w:rsid w:val="008D7703"/>
    <w:rsid w:val="008D7C7C"/>
    <w:rsid w:val="008E0683"/>
    <w:rsid w:val="008E0F77"/>
    <w:rsid w:val="008E2CAF"/>
    <w:rsid w:val="008E35E9"/>
    <w:rsid w:val="008E367E"/>
    <w:rsid w:val="008E457F"/>
    <w:rsid w:val="008E50C2"/>
    <w:rsid w:val="008E6FA8"/>
    <w:rsid w:val="008E78C5"/>
    <w:rsid w:val="008E7DE7"/>
    <w:rsid w:val="008F0F0E"/>
    <w:rsid w:val="008F1330"/>
    <w:rsid w:val="008F142D"/>
    <w:rsid w:val="008F1D4F"/>
    <w:rsid w:val="008F214A"/>
    <w:rsid w:val="008F217B"/>
    <w:rsid w:val="008F387E"/>
    <w:rsid w:val="008F3DE9"/>
    <w:rsid w:val="008F5306"/>
    <w:rsid w:val="008F594E"/>
    <w:rsid w:val="008F5C66"/>
    <w:rsid w:val="008F676A"/>
    <w:rsid w:val="00900D44"/>
    <w:rsid w:val="009049F2"/>
    <w:rsid w:val="00905A49"/>
    <w:rsid w:val="00906741"/>
    <w:rsid w:val="00907DDF"/>
    <w:rsid w:val="0091143D"/>
    <w:rsid w:val="00911F13"/>
    <w:rsid w:val="0091243E"/>
    <w:rsid w:val="009125AF"/>
    <w:rsid w:val="00913441"/>
    <w:rsid w:val="00914258"/>
    <w:rsid w:val="00914A06"/>
    <w:rsid w:val="00914FE8"/>
    <w:rsid w:val="009163A2"/>
    <w:rsid w:val="00916DE8"/>
    <w:rsid w:val="00921043"/>
    <w:rsid w:val="00921760"/>
    <w:rsid w:val="00922239"/>
    <w:rsid w:val="00923A02"/>
    <w:rsid w:val="00924218"/>
    <w:rsid w:val="009248C4"/>
    <w:rsid w:val="00924AB9"/>
    <w:rsid w:val="009255AC"/>
    <w:rsid w:val="009259B0"/>
    <w:rsid w:val="00926DB8"/>
    <w:rsid w:val="009272A6"/>
    <w:rsid w:val="00927B55"/>
    <w:rsid w:val="00930152"/>
    <w:rsid w:val="00930177"/>
    <w:rsid w:val="009307C0"/>
    <w:rsid w:val="0093122D"/>
    <w:rsid w:val="009312D7"/>
    <w:rsid w:val="00932A1B"/>
    <w:rsid w:val="00932AD6"/>
    <w:rsid w:val="00932BA9"/>
    <w:rsid w:val="009330E1"/>
    <w:rsid w:val="0093340D"/>
    <w:rsid w:val="009339EC"/>
    <w:rsid w:val="00933B94"/>
    <w:rsid w:val="00934B39"/>
    <w:rsid w:val="00935633"/>
    <w:rsid w:val="00937255"/>
    <w:rsid w:val="009374EE"/>
    <w:rsid w:val="00937AB5"/>
    <w:rsid w:val="009402DB"/>
    <w:rsid w:val="00940BA7"/>
    <w:rsid w:val="009413AE"/>
    <w:rsid w:val="0094217A"/>
    <w:rsid w:val="00942CEF"/>
    <w:rsid w:val="00943025"/>
    <w:rsid w:val="00943E61"/>
    <w:rsid w:val="009442C7"/>
    <w:rsid w:val="00944994"/>
    <w:rsid w:val="0094660A"/>
    <w:rsid w:val="00946872"/>
    <w:rsid w:val="009468A5"/>
    <w:rsid w:val="00950090"/>
    <w:rsid w:val="00950A66"/>
    <w:rsid w:val="00950D22"/>
    <w:rsid w:val="0095127F"/>
    <w:rsid w:val="00951CA4"/>
    <w:rsid w:val="009530A3"/>
    <w:rsid w:val="0095341F"/>
    <w:rsid w:val="009534A7"/>
    <w:rsid w:val="00954481"/>
    <w:rsid w:val="0095543C"/>
    <w:rsid w:val="00957347"/>
    <w:rsid w:val="009611A0"/>
    <w:rsid w:val="009629D1"/>
    <w:rsid w:val="00963CF4"/>
    <w:rsid w:val="009643BF"/>
    <w:rsid w:val="00964677"/>
    <w:rsid w:val="00964BD7"/>
    <w:rsid w:val="00965478"/>
    <w:rsid w:val="00965ADA"/>
    <w:rsid w:val="00966275"/>
    <w:rsid w:val="00966444"/>
    <w:rsid w:val="0096747F"/>
    <w:rsid w:val="00967507"/>
    <w:rsid w:val="00970171"/>
    <w:rsid w:val="009701D8"/>
    <w:rsid w:val="009706E4"/>
    <w:rsid w:val="00970B3B"/>
    <w:rsid w:val="00970BA7"/>
    <w:rsid w:val="00970F12"/>
    <w:rsid w:val="0097189A"/>
    <w:rsid w:val="00971E85"/>
    <w:rsid w:val="0097241E"/>
    <w:rsid w:val="00972958"/>
    <w:rsid w:val="00972BF4"/>
    <w:rsid w:val="009733DA"/>
    <w:rsid w:val="009734DD"/>
    <w:rsid w:val="0097352B"/>
    <w:rsid w:val="009739FF"/>
    <w:rsid w:val="009747D2"/>
    <w:rsid w:val="009754A9"/>
    <w:rsid w:val="00975E32"/>
    <w:rsid w:val="0097630B"/>
    <w:rsid w:val="00976DBD"/>
    <w:rsid w:val="00977569"/>
    <w:rsid w:val="00981909"/>
    <w:rsid w:val="00983668"/>
    <w:rsid w:val="009849F0"/>
    <w:rsid w:val="009858FB"/>
    <w:rsid w:val="00985C6F"/>
    <w:rsid w:val="00986072"/>
    <w:rsid w:val="009860BC"/>
    <w:rsid w:val="009866BD"/>
    <w:rsid w:val="0098758E"/>
    <w:rsid w:val="00987BA5"/>
    <w:rsid w:val="009903F8"/>
    <w:rsid w:val="00990915"/>
    <w:rsid w:val="009914BA"/>
    <w:rsid w:val="009929E5"/>
    <w:rsid w:val="00992F33"/>
    <w:rsid w:val="00993D40"/>
    <w:rsid w:val="009951AC"/>
    <w:rsid w:val="009963CD"/>
    <w:rsid w:val="00996D98"/>
    <w:rsid w:val="009A059B"/>
    <w:rsid w:val="009A08F1"/>
    <w:rsid w:val="009A13E0"/>
    <w:rsid w:val="009A3B20"/>
    <w:rsid w:val="009A3D2F"/>
    <w:rsid w:val="009A7B33"/>
    <w:rsid w:val="009A7C4C"/>
    <w:rsid w:val="009B00B2"/>
    <w:rsid w:val="009B01BA"/>
    <w:rsid w:val="009B2C1F"/>
    <w:rsid w:val="009B4369"/>
    <w:rsid w:val="009B5CC6"/>
    <w:rsid w:val="009B5CFA"/>
    <w:rsid w:val="009B6276"/>
    <w:rsid w:val="009B6E12"/>
    <w:rsid w:val="009B725E"/>
    <w:rsid w:val="009C0A1B"/>
    <w:rsid w:val="009C1217"/>
    <w:rsid w:val="009C1CE8"/>
    <w:rsid w:val="009C1D62"/>
    <w:rsid w:val="009C2B07"/>
    <w:rsid w:val="009C2E2C"/>
    <w:rsid w:val="009C2FCF"/>
    <w:rsid w:val="009C4AE8"/>
    <w:rsid w:val="009C4EFF"/>
    <w:rsid w:val="009C5390"/>
    <w:rsid w:val="009C577C"/>
    <w:rsid w:val="009C612D"/>
    <w:rsid w:val="009C6472"/>
    <w:rsid w:val="009C6615"/>
    <w:rsid w:val="009C7225"/>
    <w:rsid w:val="009D00CE"/>
    <w:rsid w:val="009D0A87"/>
    <w:rsid w:val="009D1290"/>
    <w:rsid w:val="009D1955"/>
    <w:rsid w:val="009D2420"/>
    <w:rsid w:val="009D47F4"/>
    <w:rsid w:val="009D4B9D"/>
    <w:rsid w:val="009D4CA4"/>
    <w:rsid w:val="009D7F8D"/>
    <w:rsid w:val="009E02B7"/>
    <w:rsid w:val="009E04E3"/>
    <w:rsid w:val="009E0708"/>
    <w:rsid w:val="009E0C3A"/>
    <w:rsid w:val="009E15CB"/>
    <w:rsid w:val="009E22C8"/>
    <w:rsid w:val="009E285A"/>
    <w:rsid w:val="009E4772"/>
    <w:rsid w:val="009E4D28"/>
    <w:rsid w:val="009E5632"/>
    <w:rsid w:val="009E5BF0"/>
    <w:rsid w:val="009E5F3E"/>
    <w:rsid w:val="009E61CA"/>
    <w:rsid w:val="009E72D6"/>
    <w:rsid w:val="009E7B6D"/>
    <w:rsid w:val="009E7B8F"/>
    <w:rsid w:val="009F0AAD"/>
    <w:rsid w:val="009F0F2C"/>
    <w:rsid w:val="009F15AF"/>
    <w:rsid w:val="009F23E1"/>
    <w:rsid w:val="009F283B"/>
    <w:rsid w:val="009F3019"/>
    <w:rsid w:val="009F3125"/>
    <w:rsid w:val="009F4D03"/>
    <w:rsid w:val="009F68B2"/>
    <w:rsid w:val="009F6F30"/>
    <w:rsid w:val="009F75E3"/>
    <w:rsid w:val="009F7C3D"/>
    <w:rsid w:val="00A006C6"/>
    <w:rsid w:val="00A00B11"/>
    <w:rsid w:val="00A01055"/>
    <w:rsid w:val="00A01256"/>
    <w:rsid w:val="00A01E56"/>
    <w:rsid w:val="00A02323"/>
    <w:rsid w:val="00A02392"/>
    <w:rsid w:val="00A02847"/>
    <w:rsid w:val="00A03675"/>
    <w:rsid w:val="00A03EE5"/>
    <w:rsid w:val="00A0583C"/>
    <w:rsid w:val="00A05E30"/>
    <w:rsid w:val="00A05E57"/>
    <w:rsid w:val="00A05EBB"/>
    <w:rsid w:val="00A076B7"/>
    <w:rsid w:val="00A11A09"/>
    <w:rsid w:val="00A121DE"/>
    <w:rsid w:val="00A12D51"/>
    <w:rsid w:val="00A13585"/>
    <w:rsid w:val="00A15703"/>
    <w:rsid w:val="00A163DB"/>
    <w:rsid w:val="00A16632"/>
    <w:rsid w:val="00A16EB8"/>
    <w:rsid w:val="00A1748A"/>
    <w:rsid w:val="00A17864"/>
    <w:rsid w:val="00A203C8"/>
    <w:rsid w:val="00A21A9C"/>
    <w:rsid w:val="00A220FA"/>
    <w:rsid w:val="00A22F4C"/>
    <w:rsid w:val="00A23775"/>
    <w:rsid w:val="00A24409"/>
    <w:rsid w:val="00A256A6"/>
    <w:rsid w:val="00A27087"/>
    <w:rsid w:val="00A27A95"/>
    <w:rsid w:val="00A3036A"/>
    <w:rsid w:val="00A31540"/>
    <w:rsid w:val="00A3198B"/>
    <w:rsid w:val="00A32869"/>
    <w:rsid w:val="00A33BF5"/>
    <w:rsid w:val="00A35207"/>
    <w:rsid w:val="00A36CC2"/>
    <w:rsid w:val="00A37376"/>
    <w:rsid w:val="00A37659"/>
    <w:rsid w:val="00A37C98"/>
    <w:rsid w:val="00A4018B"/>
    <w:rsid w:val="00A42D14"/>
    <w:rsid w:val="00A43DFB"/>
    <w:rsid w:val="00A46CEE"/>
    <w:rsid w:val="00A47291"/>
    <w:rsid w:val="00A47BA9"/>
    <w:rsid w:val="00A50468"/>
    <w:rsid w:val="00A50907"/>
    <w:rsid w:val="00A5091E"/>
    <w:rsid w:val="00A54A02"/>
    <w:rsid w:val="00A55B2C"/>
    <w:rsid w:val="00A61D88"/>
    <w:rsid w:val="00A6247A"/>
    <w:rsid w:val="00A626DB"/>
    <w:rsid w:val="00A6270F"/>
    <w:rsid w:val="00A62BCA"/>
    <w:rsid w:val="00A62CB7"/>
    <w:rsid w:val="00A62D8A"/>
    <w:rsid w:val="00A64193"/>
    <w:rsid w:val="00A642AB"/>
    <w:rsid w:val="00A644C8"/>
    <w:rsid w:val="00A6460F"/>
    <w:rsid w:val="00A6698C"/>
    <w:rsid w:val="00A7020D"/>
    <w:rsid w:val="00A71677"/>
    <w:rsid w:val="00A72E63"/>
    <w:rsid w:val="00A73292"/>
    <w:rsid w:val="00A75468"/>
    <w:rsid w:val="00A75D93"/>
    <w:rsid w:val="00A76263"/>
    <w:rsid w:val="00A76792"/>
    <w:rsid w:val="00A772E2"/>
    <w:rsid w:val="00A77ECE"/>
    <w:rsid w:val="00A809E6"/>
    <w:rsid w:val="00A81300"/>
    <w:rsid w:val="00A8309A"/>
    <w:rsid w:val="00A83CE6"/>
    <w:rsid w:val="00A843E2"/>
    <w:rsid w:val="00A849B5"/>
    <w:rsid w:val="00A8667C"/>
    <w:rsid w:val="00A86EA2"/>
    <w:rsid w:val="00A87AD9"/>
    <w:rsid w:val="00A87DA3"/>
    <w:rsid w:val="00A90386"/>
    <w:rsid w:val="00A904B3"/>
    <w:rsid w:val="00A9246F"/>
    <w:rsid w:val="00A92664"/>
    <w:rsid w:val="00A93B82"/>
    <w:rsid w:val="00A95BD8"/>
    <w:rsid w:val="00A96D99"/>
    <w:rsid w:val="00A97BE4"/>
    <w:rsid w:val="00AA0707"/>
    <w:rsid w:val="00AA3CB4"/>
    <w:rsid w:val="00AA3D23"/>
    <w:rsid w:val="00AA3DA3"/>
    <w:rsid w:val="00AA544E"/>
    <w:rsid w:val="00AA5E5F"/>
    <w:rsid w:val="00AA60A3"/>
    <w:rsid w:val="00AA6255"/>
    <w:rsid w:val="00AA6A81"/>
    <w:rsid w:val="00AA6FA8"/>
    <w:rsid w:val="00AB0DCC"/>
    <w:rsid w:val="00AB0E42"/>
    <w:rsid w:val="00AB1C4C"/>
    <w:rsid w:val="00AB236D"/>
    <w:rsid w:val="00AB2571"/>
    <w:rsid w:val="00AB3138"/>
    <w:rsid w:val="00AB3864"/>
    <w:rsid w:val="00AB3B67"/>
    <w:rsid w:val="00AB42EB"/>
    <w:rsid w:val="00AB4856"/>
    <w:rsid w:val="00AB4994"/>
    <w:rsid w:val="00AB4CCF"/>
    <w:rsid w:val="00AB572A"/>
    <w:rsid w:val="00AB602C"/>
    <w:rsid w:val="00AB7329"/>
    <w:rsid w:val="00AB77A6"/>
    <w:rsid w:val="00AB7EE5"/>
    <w:rsid w:val="00AC014B"/>
    <w:rsid w:val="00AC1A2C"/>
    <w:rsid w:val="00AC3DE7"/>
    <w:rsid w:val="00AC3FE3"/>
    <w:rsid w:val="00AC4648"/>
    <w:rsid w:val="00AC4DBF"/>
    <w:rsid w:val="00AC50E3"/>
    <w:rsid w:val="00AC5A01"/>
    <w:rsid w:val="00AD0DB9"/>
    <w:rsid w:val="00AD0F8D"/>
    <w:rsid w:val="00AD1E2D"/>
    <w:rsid w:val="00AD391A"/>
    <w:rsid w:val="00AD41DD"/>
    <w:rsid w:val="00AD452E"/>
    <w:rsid w:val="00AD45C3"/>
    <w:rsid w:val="00AD5479"/>
    <w:rsid w:val="00AD58DE"/>
    <w:rsid w:val="00AD681F"/>
    <w:rsid w:val="00AE1D9D"/>
    <w:rsid w:val="00AE27CA"/>
    <w:rsid w:val="00AE32DE"/>
    <w:rsid w:val="00AE3562"/>
    <w:rsid w:val="00AE3A0C"/>
    <w:rsid w:val="00AE3A52"/>
    <w:rsid w:val="00AE409A"/>
    <w:rsid w:val="00AE56E4"/>
    <w:rsid w:val="00AE5869"/>
    <w:rsid w:val="00AE66D5"/>
    <w:rsid w:val="00AF110B"/>
    <w:rsid w:val="00AF1575"/>
    <w:rsid w:val="00AF1DB4"/>
    <w:rsid w:val="00AF1DF8"/>
    <w:rsid w:val="00AF2849"/>
    <w:rsid w:val="00AF39BC"/>
    <w:rsid w:val="00AF4B4A"/>
    <w:rsid w:val="00AF5041"/>
    <w:rsid w:val="00AF5145"/>
    <w:rsid w:val="00AF52B4"/>
    <w:rsid w:val="00AF7857"/>
    <w:rsid w:val="00B00CDA"/>
    <w:rsid w:val="00B00FF4"/>
    <w:rsid w:val="00B023D4"/>
    <w:rsid w:val="00B02551"/>
    <w:rsid w:val="00B03484"/>
    <w:rsid w:val="00B03C5C"/>
    <w:rsid w:val="00B04628"/>
    <w:rsid w:val="00B04F00"/>
    <w:rsid w:val="00B0571A"/>
    <w:rsid w:val="00B05C15"/>
    <w:rsid w:val="00B070A3"/>
    <w:rsid w:val="00B07D32"/>
    <w:rsid w:val="00B07F2D"/>
    <w:rsid w:val="00B102F2"/>
    <w:rsid w:val="00B10558"/>
    <w:rsid w:val="00B14153"/>
    <w:rsid w:val="00B14845"/>
    <w:rsid w:val="00B16793"/>
    <w:rsid w:val="00B20763"/>
    <w:rsid w:val="00B20832"/>
    <w:rsid w:val="00B20E4D"/>
    <w:rsid w:val="00B2416F"/>
    <w:rsid w:val="00B258CC"/>
    <w:rsid w:val="00B26737"/>
    <w:rsid w:val="00B26F18"/>
    <w:rsid w:val="00B309BB"/>
    <w:rsid w:val="00B30D27"/>
    <w:rsid w:val="00B31B44"/>
    <w:rsid w:val="00B33467"/>
    <w:rsid w:val="00B33E26"/>
    <w:rsid w:val="00B345C2"/>
    <w:rsid w:val="00B34636"/>
    <w:rsid w:val="00B35314"/>
    <w:rsid w:val="00B35716"/>
    <w:rsid w:val="00B35FC3"/>
    <w:rsid w:val="00B37AA2"/>
    <w:rsid w:val="00B37DB1"/>
    <w:rsid w:val="00B4124A"/>
    <w:rsid w:val="00B4146C"/>
    <w:rsid w:val="00B41EF4"/>
    <w:rsid w:val="00B41F00"/>
    <w:rsid w:val="00B44214"/>
    <w:rsid w:val="00B443EB"/>
    <w:rsid w:val="00B4681F"/>
    <w:rsid w:val="00B46CF6"/>
    <w:rsid w:val="00B46EFA"/>
    <w:rsid w:val="00B47BF4"/>
    <w:rsid w:val="00B50EF7"/>
    <w:rsid w:val="00B52203"/>
    <w:rsid w:val="00B527CB"/>
    <w:rsid w:val="00B52F16"/>
    <w:rsid w:val="00B530ED"/>
    <w:rsid w:val="00B53A20"/>
    <w:rsid w:val="00B53F3F"/>
    <w:rsid w:val="00B5491C"/>
    <w:rsid w:val="00B54B10"/>
    <w:rsid w:val="00B56729"/>
    <w:rsid w:val="00B568A0"/>
    <w:rsid w:val="00B568D3"/>
    <w:rsid w:val="00B56CCC"/>
    <w:rsid w:val="00B60547"/>
    <w:rsid w:val="00B60774"/>
    <w:rsid w:val="00B61190"/>
    <w:rsid w:val="00B61EB9"/>
    <w:rsid w:val="00B61EC2"/>
    <w:rsid w:val="00B61FFA"/>
    <w:rsid w:val="00B62CBB"/>
    <w:rsid w:val="00B638A3"/>
    <w:rsid w:val="00B63941"/>
    <w:rsid w:val="00B63FDB"/>
    <w:rsid w:val="00B64051"/>
    <w:rsid w:val="00B6487B"/>
    <w:rsid w:val="00B64C36"/>
    <w:rsid w:val="00B64F88"/>
    <w:rsid w:val="00B65A6A"/>
    <w:rsid w:val="00B65C15"/>
    <w:rsid w:val="00B724E0"/>
    <w:rsid w:val="00B7271C"/>
    <w:rsid w:val="00B728F5"/>
    <w:rsid w:val="00B74777"/>
    <w:rsid w:val="00B75D8E"/>
    <w:rsid w:val="00B767E2"/>
    <w:rsid w:val="00B76DE8"/>
    <w:rsid w:val="00B77F7C"/>
    <w:rsid w:val="00B806FC"/>
    <w:rsid w:val="00B80719"/>
    <w:rsid w:val="00B80B4C"/>
    <w:rsid w:val="00B81335"/>
    <w:rsid w:val="00B828C7"/>
    <w:rsid w:val="00B82C58"/>
    <w:rsid w:val="00B83754"/>
    <w:rsid w:val="00B85BC0"/>
    <w:rsid w:val="00B85E13"/>
    <w:rsid w:val="00B86221"/>
    <w:rsid w:val="00B87607"/>
    <w:rsid w:val="00B87715"/>
    <w:rsid w:val="00B87CBD"/>
    <w:rsid w:val="00B904E2"/>
    <w:rsid w:val="00B905CA"/>
    <w:rsid w:val="00B906A2"/>
    <w:rsid w:val="00B90ED5"/>
    <w:rsid w:val="00B9183A"/>
    <w:rsid w:val="00B91870"/>
    <w:rsid w:val="00B9265D"/>
    <w:rsid w:val="00B92CA0"/>
    <w:rsid w:val="00B930F1"/>
    <w:rsid w:val="00B93DBC"/>
    <w:rsid w:val="00B940D6"/>
    <w:rsid w:val="00B94950"/>
    <w:rsid w:val="00B95153"/>
    <w:rsid w:val="00B95D46"/>
    <w:rsid w:val="00B96AEE"/>
    <w:rsid w:val="00B96DFA"/>
    <w:rsid w:val="00B97C7C"/>
    <w:rsid w:val="00BA03C0"/>
    <w:rsid w:val="00BA100D"/>
    <w:rsid w:val="00BA12AA"/>
    <w:rsid w:val="00BA15E4"/>
    <w:rsid w:val="00BA1CA0"/>
    <w:rsid w:val="00BA2DA6"/>
    <w:rsid w:val="00BA406A"/>
    <w:rsid w:val="00BA4142"/>
    <w:rsid w:val="00BA69E2"/>
    <w:rsid w:val="00BA74C9"/>
    <w:rsid w:val="00BA790F"/>
    <w:rsid w:val="00BB06CF"/>
    <w:rsid w:val="00BB23D5"/>
    <w:rsid w:val="00BB2E89"/>
    <w:rsid w:val="00BB34E9"/>
    <w:rsid w:val="00BB3A3F"/>
    <w:rsid w:val="00BB4206"/>
    <w:rsid w:val="00BB4633"/>
    <w:rsid w:val="00BB4A90"/>
    <w:rsid w:val="00BB4D15"/>
    <w:rsid w:val="00BB67FE"/>
    <w:rsid w:val="00BB6D12"/>
    <w:rsid w:val="00BB724F"/>
    <w:rsid w:val="00BB76F9"/>
    <w:rsid w:val="00BC03B5"/>
    <w:rsid w:val="00BC19AB"/>
    <w:rsid w:val="00BC20BE"/>
    <w:rsid w:val="00BC25F5"/>
    <w:rsid w:val="00BC26E9"/>
    <w:rsid w:val="00BC3160"/>
    <w:rsid w:val="00BC318A"/>
    <w:rsid w:val="00BC3A6D"/>
    <w:rsid w:val="00BC4D36"/>
    <w:rsid w:val="00BC4F16"/>
    <w:rsid w:val="00BC5180"/>
    <w:rsid w:val="00BC6E95"/>
    <w:rsid w:val="00BC7594"/>
    <w:rsid w:val="00BC75D4"/>
    <w:rsid w:val="00BC7920"/>
    <w:rsid w:val="00BD1434"/>
    <w:rsid w:val="00BD144B"/>
    <w:rsid w:val="00BD1E72"/>
    <w:rsid w:val="00BD1EFD"/>
    <w:rsid w:val="00BD2228"/>
    <w:rsid w:val="00BD314F"/>
    <w:rsid w:val="00BD4981"/>
    <w:rsid w:val="00BD4C15"/>
    <w:rsid w:val="00BD51E2"/>
    <w:rsid w:val="00BD553C"/>
    <w:rsid w:val="00BE019B"/>
    <w:rsid w:val="00BE045A"/>
    <w:rsid w:val="00BE0462"/>
    <w:rsid w:val="00BE0D03"/>
    <w:rsid w:val="00BE1B24"/>
    <w:rsid w:val="00BE2101"/>
    <w:rsid w:val="00BE261D"/>
    <w:rsid w:val="00BE2668"/>
    <w:rsid w:val="00BE2CAC"/>
    <w:rsid w:val="00BE2DF9"/>
    <w:rsid w:val="00BE3896"/>
    <w:rsid w:val="00BE396E"/>
    <w:rsid w:val="00BE44CA"/>
    <w:rsid w:val="00BE47A6"/>
    <w:rsid w:val="00BE48D9"/>
    <w:rsid w:val="00BE608C"/>
    <w:rsid w:val="00BE624F"/>
    <w:rsid w:val="00BE7587"/>
    <w:rsid w:val="00BE76E4"/>
    <w:rsid w:val="00BF21C9"/>
    <w:rsid w:val="00BF2A0D"/>
    <w:rsid w:val="00BF2EE5"/>
    <w:rsid w:val="00BF31BC"/>
    <w:rsid w:val="00BF3EBB"/>
    <w:rsid w:val="00BF42AD"/>
    <w:rsid w:val="00BF4510"/>
    <w:rsid w:val="00BF4CC1"/>
    <w:rsid w:val="00BF5589"/>
    <w:rsid w:val="00BF5E1D"/>
    <w:rsid w:val="00BF6BC3"/>
    <w:rsid w:val="00BF6DAF"/>
    <w:rsid w:val="00BF77BA"/>
    <w:rsid w:val="00BF7A9A"/>
    <w:rsid w:val="00C000B2"/>
    <w:rsid w:val="00C00EE3"/>
    <w:rsid w:val="00C01C71"/>
    <w:rsid w:val="00C02685"/>
    <w:rsid w:val="00C02867"/>
    <w:rsid w:val="00C033BD"/>
    <w:rsid w:val="00C046C5"/>
    <w:rsid w:val="00C04C46"/>
    <w:rsid w:val="00C05167"/>
    <w:rsid w:val="00C0745B"/>
    <w:rsid w:val="00C103F5"/>
    <w:rsid w:val="00C11BB3"/>
    <w:rsid w:val="00C1256C"/>
    <w:rsid w:val="00C14C22"/>
    <w:rsid w:val="00C14D0B"/>
    <w:rsid w:val="00C15125"/>
    <w:rsid w:val="00C158F8"/>
    <w:rsid w:val="00C15D51"/>
    <w:rsid w:val="00C1661D"/>
    <w:rsid w:val="00C172F4"/>
    <w:rsid w:val="00C2139E"/>
    <w:rsid w:val="00C21690"/>
    <w:rsid w:val="00C21D7F"/>
    <w:rsid w:val="00C21E1F"/>
    <w:rsid w:val="00C22C3F"/>
    <w:rsid w:val="00C22EB3"/>
    <w:rsid w:val="00C236C1"/>
    <w:rsid w:val="00C26566"/>
    <w:rsid w:val="00C26CA4"/>
    <w:rsid w:val="00C2719A"/>
    <w:rsid w:val="00C27D94"/>
    <w:rsid w:val="00C27E34"/>
    <w:rsid w:val="00C30A1C"/>
    <w:rsid w:val="00C31267"/>
    <w:rsid w:val="00C312F6"/>
    <w:rsid w:val="00C31872"/>
    <w:rsid w:val="00C31A29"/>
    <w:rsid w:val="00C323D4"/>
    <w:rsid w:val="00C337F5"/>
    <w:rsid w:val="00C34046"/>
    <w:rsid w:val="00C34788"/>
    <w:rsid w:val="00C350F8"/>
    <w:rsid w:val="00C368A7"/>
    <w:rsid w:val="00C370A5"/>
    <w:rsid w:val="00C3787B"/>
    <w:rsid w:val="00C40BF4"/>
    <w:rsid w:val="00C416A7"/>
    <w:rsid w:val="00C421B3"/>
    <w:rsid w:val="00C422E5"/>
    <w:rsid w:val="00C42716"/>
    <w:rsid w:val="00C456CB"/>
    <w:rsid w:val="00C506DD"/>
    <w:rsid w:val="00C51985"/>
    <w:rsid w:val="00C52E9E"/>
    <w:rsid w:val="00C5335C"/>
    <w:rsid w:val="00C53C5F"/>
    <w:rsid w:val="00C54182"/>
    <w:rsid w:val="00C55278"/>
    <w:rsid w:val="00C56D85"/>
    <w:rsid w:val="00C56F4C"/>
    <w:rsid w:val="00C5767C"/>
    <w:rsid w:val="00C5779B"/>
    <w:rsid w:val="00C57894"/>
    <w:rsid w:val="00C57CBF"/>
    <w:rsid w:val="00C60709"/>
    <w:rsid w:val="00C60A2B"/>
    <w:rsid w:val="00C60CAB"/>
    <w:rsid w:val="00C61CBC"/>
    <w:rsid w:val="00C62F7C"/>
    <w:rsid w:val="00C630FC"/>
    <w:rsid w:val="00C63578"/>
    <w:rsid w:val="00C64D29"/>
    <w:rsid w:val="00C65563"/>
    <w:rsid w:val="00C65CF0"/>
    <w:rsid w:val="00C66CFF"/>
    <w:rsid w:val="00C70E8F"/>
    <w:rsid w:val="00C70F79"/>
    <w:rsid w:val="00C71307"/>
    <w:rsid w:val="00C71971"/>
    <w:rsid w:val="00C71A2E"/>
    <w:rsid w:val="00C724BE"/>
    <w:rsid w:val="00C72FE0"/>
    <w:rsid w:val="00C741BB"/>
    <w:rsid w:val="00C753FE"/>
    <w:rsid w:val="00C7569D"/>
    <w:rsid w:val="00C80E46"/>
    <w:rsid w:val="00C815C7"/>
    <w:rsid w:val="00C8230B"/>
    <w:rsid w:val="00C828D1"/>
    <w:rsid w:val="00C82E0D"/>
    <w:rsid w:val="00C84EFF"/>
    <w:rsid w:val="00C85188"/>
    <w:rsid w:val="00C8611B"/>
    <w:rsid w:val="00C8659D"/>
    <w:rsid w:val="00C870E6"/>
    <w:rsid w:val="00C8742F"/>
    <w:rsid w:val="00C87840"/>
    <w:rsid w:val="00C87FBD"/>
    <w:rsid w:val="00C91B24"/>
    <w:rsid w:val="00C91BC6"/>
    <w:rsid w:val="00C920A2"/>
    <w:rsid w:val="00C92363"/>
    <w:rsid w:val="00C929A3"/>
    <w:rsid w:val="00C92FED"/>
    <w:rsid w:val="00C93076"/>
    <w:rsid w:val="00C93467"/>
    <w:rsid w:val="00C94605"/>
    <w:rsid w:val="00C9490E"/>
    <w:rsid w:val="00C94A92"/>
    <w:rsid w:val="00C95B81"/>
    <w:rsid w:val="00C96A42"/>
    <w:rsid w:val="00C96D67"/>
    <w:rsid w:val="00C97477"/>
    <w:rsid w:val="00CA0110"/>
    <w:rsid w:val="00CA11EE"/>
    <w:rsid w:val="00CA26AB"/>
    <w:rsid w:val="00CA4DDE"/>
    <w:rsid w:val="00CA5743"/>
    <w:rsid w:val="00CA5A6E"/>
    <w:rsid w:val="00CA5CBD"/>
    <w:rsid w:val="00CA6064"/>
    <w:rsid w:val="00CA6881"/>
    <w:rsid w:val="00CA6A42"/>
    <w:rsid w:val="00CB1FDA"/>
    <w:rsid w:val="00CB25A9"/>
    <w:rsid w:val="00CB3218"/>
    <w:rsid w:val="00CB3F8E"/>
    <w:rsid w:val="00CB6563"/>
    <w:rsid w:val="00CB692D"/>
    <w:rsid w:val="00CC0169"/>
    <w:rsid w:val="00CC03E0"/>
    <w:rsid w:val="00CC1E5B"/>
    <w:rsid w:val="00CC1F51"/>
    <w:rsid w:val="00CC2596"/>
    <w:rsid w:val="00CC304B"/>
    <w:rsid w:val="00CC358E"/>
    <w:rsid w:val="00CC3B5A"/>
    <w:rsid w:val="00CC4112"/>
    <w:rsid w:val="00CC4B13"/>
    <w:rsid w:val="00CC5C65"/>
    <w:rsid w:val="00CC6036"/>
    <w:rsid w:val="00CC6466"/>
    <w:rsid w:val="00CC653B"/>
    <w:rsid w:val="00CC6CB5"/>
    <w:rsid w:val="00CC769C"/>
    <w:rsid w:val="00CC786C"/>
    <w:rsid w:val="00CC7B2D"/>
    <w:rsid w:val="00CC7D2A"/>
    <w:rsid w:val="00CC7FDD"/>
    <w:rsid w:val="00CD010C"/>
    <w:rsid w:val="00CD03A3"/>
    <w:rsid w:val="00CD12F4"/>
    <w:rsid w:val="00CD1C1F"/>
    <w:rsid w:val="00CD22D5"/>
    <w:rsid w:val="00CD24C7"/>
    <w:rsid w:val="00CD355E"/>
    <w:rsid w:val="00CD3593"/>
    <w:rsid w:val="00CD3989"/>
    <w:rsid w:val="00CD4457"/>
    <w:rsid w:val="00CD45E9"/>
    <w:rsid w:val="00CD47C3"/>
    <w:rsid w:val="00CD52C1"/>
    <w:rsid w:val="00CD5722"/>
    <w:rsid w:val="00CD68BB"/>
    <w:rsid w:val="00CD69BF"/>
    <w:rsid w:val="00CD6C8D"/>
    <w:rsid w:val="00CD6DB4"/>
    <w:rsid w:val="00CD6F6C"/>
    <w:rsid w:val="00CD6FF7"/>
    <w:rsid w:val="00CD7633"/>
    <w:rsid w:val="00CD770E"/>
    <w:rsid w:val="00CE039F"/>
    <w:rsid w:val="00CE0789"/>
    <w:rsid w:val="00CE0B00"/>
    <w:rsid w:val="00CE0D34"/>
    <w:rsid w:val="00CE1C7E"/>
    <w:rsid w:val="00CE2291"/>
    <w:rsid w:val="00CE28E7"/>
    <w:rsid w:val="00CE2F8F"/>
    <w:rsid w:val="00CE4053"/>
    <w:rsid w:val="00CE61DE"/>
    <w:rsid w:val="00CE67A9"/>
    <w:rsid w:val="00CF0328"/>
    <w:rsid w:val="00CF0E91"/>
    <w:rsid w:val="00CF17D9"/>
    <w:rsid w:val="00CF1A0D"/>
    <w:rsid w:val="00CF37C9"/>
    <w:rsid w:val="00CF3D5A"/>
    <w:rsid w:val="00CF4CA5"/>
    <w:rsid w:val="00D01868"/>
    <w:rsid w:val="00D01B9E"/>
    <w:rsid w:val="00D01CA9"/>
    <w:rsid w:val="00D01DD8"/>
    <w:rsid w:val="00D02F7C"/>
    <w:rsid w:val="00D042C1"/>
    <w:rsid w:val="00D04962"/>
    <w:rsid w:val="00D055A7"/>
    <w:rsid w:val="00D06944"/>
    <w:rsid w:val="00D06C52"/>
    <w:rsid w:val="00D06CC6"/>
    <w:rsid w:val="00D07EFA"/>
    <w:rsid w:val="00D1012B"/>
    <w:rsid w:val="00D1157D"/>
    <w:rsid w:val="00D12263"/>
    <w:rsid w:val="00D137B9"/>
    <w:rsid w:val="00D139A0"/>
    <w:rsid w:val="00D13F71"/>
    <w:rsid w:val="00D14364"/>
    <w:rsid w:val="00D15911"/>
    <w:rsid w:val="00D15FCC"/>
    <w:rsid w:val="00D16D0D"/>
    <w:rsid w:val="00D17E7E"/>
    <w:rsid w:val="00D20F34"/>
    <w:rsid w:val="00D21429"/>
    <w:rsid w:val="00D217EB"/>
    <w:rsid w:val="00D220FB"/>
    <w:rsid w:val="00D25E08"/>
    <w:rsid w:val="00D26035"/>
    <w:rsid w:val="00D2674B"/>
    <w:rsid w:val="00D26A2B"/>
    <w:rsid w:val="00D26E68"/>
    <w:rsid w:val="00D3130E"/>
    <w:rsid w:val="00D32115"/>
    <w:rsid w:val="00D32691"/>
    <w:rsid w:val="00D32CAE"/>
    <w:rsid w:val="00D341B3"/>
    <w:rsid w:val="00D357F1"/>
    <w:rsid w:val="00D37D98"/>
    <w:rsid w:val="00D41D2C"/>
    <w:rsid w:val="00D43FF0"/>
    <w:rsid w:val="00D4444A"/>
    <w:rsid w:val="00D44E0B"/>
    <w:rsid w:val="00D4544C"/>
    <w:rsid w:val="00D457D9"/>
    <w:rsid w:val="00D45ED4"/>
    <w:rsid w:val="00D4607C"/>
    <w:rsid w:val="00D46124"/>
    <w:rsid w:val="00D46E02"/>
    <w:rsid w:val="00D4709E"/>
    <w:rsid w:val="00D47BCA"/>
    <w:rsid w:val="00D47C08"/>
    <w:rsid w:val="00D47E43"/>
    <w:rsid w:val="00D51185"/>
    <w:rsid w:val="00D512A6"/>
    <w:rsid w:val="00D51C0B"/>
    <w:rsid w:val="00D52D26"/>
    <w:rsid w:val="00D54159"/>
    <w:rsid w:val="00D54B8E"/>
    <w:rsid w:val="00D55F80"/>
    <w:rsid w:val="00D57036"/>
    <w:rsid w:val="00D57A8F"/>
    <w:rsid w:val="00D60682"/>
    <w:rsid w:val="00D60698"/>
    <w:rsid w:val="00D60DE8"/>
    <w:rsid w:val="00D61AE4"/>
    <w:rsid w:val="00D639BE"/>
    <w:rsid w:val="00D6532E"/>
    <w:rsid w:val="00D67AC7"/>
    <w:rsid w:val="00D67C6E"/>
    <w:rsid w:val="00D67DE8"/>
    <w:rsid w:val="00D71084"/>
    <w:rsid w:val="00D71CE7"/>
    <w:rsid w:val="00D730CD"/>
    <w:rsid w:val="00D73235"/>
    <w:rsid w:val="00D73252"/>
    <w:rsid w:val="00D7526B"/>
    <w:rsid w:val="00D757BC"/>
    <w:rsid w:val="00D75C3C"/>
    <w:rsid w:val="00D76402"/>
    <w:rsid w:val="00D76B29"/>
    <w:rsid w:val="00D76E76"/>
    <w:rsid w:val="00D7789C"/>
    <w:rsid w:val="00D77C16"/>
    <w:rsid w:val="00D832F6"/>
    <w:rsid w:val="00D8418C"/>
    <w:rsid w:val="00D84937"/>
    <w:rsid w:val="00D84D98"/>
    <w:rsid w:val="00D84E19"/>
    <w:rsid w:val="00D84E1A"/>
    <w:rsid w:val="00D852F9"/>
    <w:rsid w:val="00D857F2"/>
    <w:rsid w:val="00D859ED"/>
    <w:rsid w:val="00D863F2"/>
    <w:rsid w:val="00D86596"/>
    <w:rsid w:val="00D86C44"/>
    <w:rsid w:val="00D86E83"/>
    <w:rsid w:val="00D87127"/>
    <w:rsid w:val="00D87EBF"/>
    <w:rsid w:val="00D901C2"/>
    <w:rsid w:val="00D904DA"/>
    <w:rsid w:val="00D93318"/>
    <w:rsid w:val="00D933FB"/>
    <w:rsid w:val="00D93C83"/>
    <w:rsid w:val="00D93DF9"/>
    <w:rsid w:val="00D94772"/>
    <w:rsid w:val="00D948E3"/>
    <w:rsid w:val="00D95069"/>
    <w:rsid w:val="00D955F6"/>
    <w:rsid w:val="00D962AB"/>
    <w:rsid w:val="00D96A24"/>
    <w:rsid w:val="00D96D52"/>
    <w:rsid w:val="00D96E5E"/>
    <w:rsid w:val="00D97223"/>
    <w:rsid w:val="00DA08A2"/>
    <w:rsid w:val="00DA1550"/>
    <w:rsid w:val="00DA17C8"/>
    <w:rsid w:val="00DA1BF2"/>
    <w:rsid w:val="00DA3BFD"/>
    <w:rsid w:val="00DA4179"/>
    <w:rsid w:val="00DA5175"/>
    <w:rsid w:val="00DB084D"/>
    <w:rsid w:val="00DB0B63"/>
    <w:rsid w:val="00DB1C85"/>
    <w:rsid w:val="00DB2B32"/>
    <w:rsid w:val="00DB4279"/>
    <w:rsid w:val="00DB4491"/>
    <w:rsid w:val="00DB4D76"/>
    <w:rsid w:val="00DB58B7"/>
    <w:rsid w:val="00DB6DA8"/>
    <w:rsid w:val="00DB75F2"/>
    <w:rsid w:val="00DC03B3"/>
    <w:rsid w:val="00DC080A"/>
    <w:rsid w:val="00DC13C8"/>
    <w:rsid w:val="00DC17AA"/>
    <w:rsid w:val="00DC1FC2"/>
    <w:rsid w:val="00DC2A6A"/>
    <w:rsid w:val="00DC2EA5"/>
    <w:rsid w:val="00DC343A"/>
    <w:rsid w:val="00DC47ED"/>
    <w:rsid w:val="00DC56DD"/>
    <w:rsid w:val="00DC65EE"/>
    <w:rsid w:val="00DC6E81"/>
    <w:rsid w:val="00DC718C"/>
    <w:rsid w:val="00DC719F"/>
    <w:rsid w:val="00DC7A23"/>
    <w:rsid w:val="00DD042B"/>
    <w:rsid w:val="00DD14AC"/>
    <w:rsid w:val="00DD21A4"/>
    <w:rsid w:val="00DD66AF"/>
    <w:rsid w:val="00DD67CA"/>
    <w:rsid w:val="00DD6907"/>
    <w:rsid w:val="00DD7080"/>
    <w:rsid w:val="00DD7634"/>
    <w:rsid w:val="00DD7AEC"/>
    <w:rsid w:val="00DD7DAB"/>
    <w:rsid w:val="00DE0F27"/>
    <w:rsid w:val="00DE0FB8"/>
    <w:rsid w:val="00DE1938"/>
    <w:rsid w:val="00DE3BCD"/>
    <w:rsid w:val="00DE4AF1"/>
    <w:rsid w:val="00DE4B0D"/>
    <w:rsid w:val="00DE5FDF"/>
    <w:rsid w:val="00DE725D"/>
    <w:rsid w:val="00DF032D"/>
    <w:rsid w:val="00DF0C86"/>
    <w:rsid w:val="00DF1280"/>
    <w:rsid w:val="00DF154C"/>
    <w:rsid w:val="00DF1CBA"/>
    <w:rsid w:val="00DF21B5"/>
    <w:rsid w:val="00DF4593"/>
    <w:rsid w:val="00DF5039"/>
    <w:rsid w:val="00DF560F"/>
    <w:rsid w:val="00DF5621"/>
    <w:rsid w:val="00DF5ED5"/>
    <w:rsid w:val="00DF6474"/>
    <w:rsid w:val="00DF7402"/>
    <w:rsid w:val="00DF7CAB"/>
    <w:rsid w:val="00E029CD"/>
    <w:rsid w:val="00E02FCF"/>
    <w:rsid w:val="00E032C4"/>
    <w:rsid w:val="00E0476D"/>
    <w:rsid w:val="00E0537E"/>
    <w:rsid w:val="00E06651"/>
    <w:rsid w:val="00E07699"/>
    <w:rsid w:val="00E0784D"/>
    <w:rsid w:val="00E07BB4"/>
    <w:rsid w:val="00E07DA2"/>
    <w:rsid w:val="00E10E60"/>
    <w:rsid w:val="00E12913"/>
    <w:rsid w:val="00E140F0"/>
    <w:rsid w:val="00E14E31"/>
    <w:rsid w:val="00E15A2E"/>
    <w:rsid w:val="00E16161"/>
    <w:rsid w:val="00E1678D"/>
    <w:rsid w:val="00E169CE"/>
    <w:rsid w:val="00E20CFB"/>
    <w:rsid w:val="00E227B5"/>
    <w:rsid w:val="00E23DA4"/>
    <w:rsid w:val="00E24745"/>
    <w:rsid w:val="00E247A7"/>
    <w:rsid w:val="00E24E20"/>
    <w:rsid w:val="00E25EC8"/>
    <w:rsid w:val="00E260C2"/>
    <w:rsid w:val="00E26130"/>
    <w:rsid w:val="00E26603"/>
    <w:rsid w:val="00E273F8"/>
    <w:rsid w:val="00E30363"/>
    <w:rsid w:val="00E3074B"/>
    <w:rsid w:val="00E309E7"/>
    <w:rsid w:val="00E32319"/>
    <w:rsid w:val="00E3267C"/>
    <w:rsid w:val="00E32A85"/>
    <w:rsid w:val="00E338E5"/>
    <w:rsid w:val="00E34279"/>
    <w:rsid w:val="00E35440"/>
    <w:rsid w:val="00E3579C"/>
    <w:rsid w:val="00E35DA0"/>
    <w:rsid w:val="00E35FB4"/>
    <w:rsid w:val="00E36B93"/>
    <w:rsid w:val="00E36CAD"/>
    <w:rsid w:val="00E379CA"/>
    <w:rsid w:val="00E41D43"/>
    <w:rsid w:val="00E41E8F"/>
    <w:rsid w:val="00E41F02"/>
    <w:rsid w:val="00E421FF"/>
    <w:rsid w:val="00E422B3"/>
    <w:rsid w:val="00E4235D"/>
    <w:rsid w:val="00E42AA8"/>
    <w:rsid w:val="00E42CD1"/>
    <w:rsid w:val="00E4496B"/>
    <w:rsid w:val="00E4630A"/>
    <w:rsid w:val="00E464F2"/>
    <w:rsid w:val="00E47E9A"/>
    <w:rsid w:val="00E50D22"/>
    <w:rsid w:val="00E50E52"/>
    <w:rsid w:val="00E51057"/>
    <w:rsid w:val="00E52120"/>
    <w:rsid w:val="00E52A6A"/>
    <w:rsid w:val="00E52AEC"/>
    <w:rsid w:val="00E539F6"/>
    <w:rsid w:val="00E54137"/>
    <w:rsid w:val="00E545A7"/>
    <w:rsid w:val="00E54993"/>
    <w:rsid w:val="00E5610B"/>
    <w:rsid w:val="00E57219"/>
    <w:rsid w:val="00E574B1"/>
    <w:rsid w:val="00E57E0A"/>
    <w:rsid w:val="00E60F4A"/>
    <w:rsid w:val="00E60F77"/>
    <w:rsid w:val="00E6196B"/>
    <w:rsid w:val="00E61A3D"/>
    <w:rsid w:val="00E62FED"/>
    <w:rsid w:val="00E63928"/>
    <w:rsid w:val="00E64066"/>
    <w:rsid w:val="00E6419A"/>
    <w:rsid w:val="00E64777"/>
    <w:rsid w:val="00E6496E"/>
    <w:rsid w:val="00E64D23"/>
    <w:rsid w:val="00E65BE0"/>
    <w:rsid w:val="00E65EBA"/>
    <w:rsid w:val="00E66EF7"/>
    <w:rsid w:val="00E706E2"/>
    <w:rsid w:val="00E70BBC"/>
    <w:rsid w:val="00E71865"/>
    <w:rsid w:val="00E721E2"/>
    <w:rsid w:val="00E73891"/>
    <w:rsid w:val="00E7452B"/>
    <w:rsid w:val="00E749F7"/>
    <w:rsid w:val="00E7523C"/>
    <w:rsid w:val="00E758C5"/>
    <w:rsid w:val="00E761E5"/>
    <w:rsid w:val="00E762B5"/>
    <w:rsid w:val="00E76E43"/>
    <w:rsid w:val="00E77353"/>
    <w:rsid w:val="00E77645"/>
    <w:rsid w:val="00E776C1"/>
    <w:rsid w:val="00E80E27"/>
    <w:rsid w:val="00E813FD"/>
    <w:rsid w:val="00E815DD"/>
    <w:rsid w:val="00E819D2"/>
    <w:rsid w:val="00E8240B"/>
    <w:rsid w:val="00E82B99"/>
    <w:rsid w:val="00E83695"/>
    <w:rsid w:val="00E853B0"/>
    <w:rsid w:val="00E85EE4"/>
    <w:rsid w:val="00E86067"/>
    <w:rsid w:val="00E861B5"/>
    <w:rsid w:val="00E8718C"/>
    <w:rsid w:val="00E900AB"/>
    <w:rsid w:val="00E912B7"/>
    <w:rsid w:val="00E922EF"/>
    <w:rsid w:val="00E92AD0"/>
    <w:rsid w:val="00E9343D"/>
    <w:rsid w:val="00E943C4"/>
    <w:rsid w:val="00E96339"/>
    <w:rsid w:val="00E96CAA"/>
    <w:rsid w:val="00E97AA4"/>
    <w:rsid w:val="00EA031F"/>
    <w:rsid w:val="00EA07EC"/>
    <w:rsid w:val="00EA0EDF"/>
    <w:rsid w:val="00EA0EFD"/>
    <w:rsid w:val="00EA1230"/>
    <w:rsid w:val="00EA1AE4"/>
    <w:rsid w:val="00EA350A"/>
    <w:rsid w:val="00EA39B2"/>
    <w:rsid w:val="00EA4078"/>
    <w:rsid w:val="00EA5D53"/>
    <w:rsid w:val="00EA71B8"/>
    <w:rsid w:val="00EA7621"/>
    <w:rsid w:val="00EA7EC8"/>
    <w:rsid w:val="00EB1407"/>
    <w:rsid w:val="00EB148C"/>
    <w:rsid w:val="00EB2DC7"/>
    <w:rsid w:val="00EB428C"/>
    <w:rsid w:val="00EB44B3"/>
    <w:rsid w:val="00EB4C9F"/>
    <w:rsid w:val="00EB525B"/>
    <w:rsid w:val="00EB70C1"/>
    <w:rsid w:val="00EC051B"/>
    <w:rsid w:val="00EC149F"/>
    <w:rsid w:val="00EC15F0"/>
    <w:rsid w:val="00EC33E2"/>
    <w:rsid w:val="00EC3732"/>
    <w:rsid w:val="00EC3CF7"/>
    <w:rsid w:val="00EC67AB"/>
    <w:rsid w:val="00EC6A1D"/>
    <w:rsid w:val="00EC7619"/>
    <w:rsid w:val="00ED01DE"/>
    <w:rsid w:val="00ED09D4"/>
    <w:rsid w:val="00ED48CD"/>
    <w:rsid w:val="00ED5D6A"/>
    <w:rsid w:val="00ED7553"/>
    <w:rsid w:val="00ED75EE"/>
    <w:rsid w:val="00ED7AA1"/>
    <w:rsid w:val="00EE182A"/>
    <w:rsid w:val="00EE22CC"/>
    <w:rsid w:val="00EE24DD"/>
    <w:rsid w:val="00EE317B"/>
    <w:rsid w:val="00EE3614"/>
    <w:rsid w:val="00EE3B80"/>
    <w:rsid w:val="00EE4978"/>
    <w:rsid w:val="00EE4FA6"/>
    <w:rsid w:val="00EE56E9"/>
    <w:rsid w:val="00EE5AE5"/>
    <w:rsid w:val="00EF038F"/>
    <w:rsid w:val="00EF0864"/>
    <w:rsid w:val="00EF2214"/>
    <w:rsid w:val="00EF31FA"/>
    <w:rsid w:val="00EF3C3E"/>
    <w:rsid w:val="00EF3D94"/>
    <w:rsid w:val="00EF41B1"/>
    <w:rsid w:val="00EF4243"/>
    <w:rsid w:val="00EF529A"/>
    <w:rsid w:val="00EF5945"/>
    <w:rsid w:val="00EF5EB2"/>
    <w:rsid w:val="00EF61F9"/>
    <w:rsid w:val="00EF64C8"/>
    <w:rsid w:val="00EF6F3C"/>
    <w:rsid w:val="00F00455"/>
    <w:rsid w:val="00F02ABB"/>
    <w:rsid w:val="00F04CF0"/>
    <w:rsid w:val="00F057C8"/>
    <w:rsid w:val="00F0598A"/>
    <w:rsid w:val="00F07310"/>
    <w:rsid w:val="00F07D49"/>
    <w:rsid w:val="00F10F3D"/>
    <w:rsid w:val="00F13199"/>
    <w:rsid w:val="00F134F8"/>
    <w:rsid w:val="00F13FD7"/>
    <w:rsid w:val="00F1439B"/>
    <w:rsid w:val="00F14D6E"/>
    <w:rsid w:val="00F15978"/>
    <w:rsid w:val="00F15B64"/>
    <w:rsid w:val="00F16361"/>
    <w:rsid w:val="00F17057"/>
    <w:rsid w:val="00F2118B"/>
    <w:rsid w:val="00F2172F"/>
    <w:rsid w:val="00F2277E"/>
    <w:rsid w:val="00F23A67"/>
    <w:rsid w:val="00F26FDB"/>
    <w:rsid w:val="00F2753D"/>
    <w:rsid w:val="00F27984"/>
    <w:rsid w:val="00F33A7C"/>
    <w:rsid w:val="00F369E7"/>
    <w:rsid w:val="00F3741A"/>
    <w:rsid w:val="00F37E7D"/>
    <w:rsid w:val="00F40291"/>
    <w:rsid w:val="00F40743"/>
    <w:rsid w:val="00F40F2A"/>
    <w:rsid w:val="00F41C3D"/>
    <w:rsid w:val="00F421DF"/>
    <w:rsid w:val="00F42685"/>
    <w:rsid w:val="00F436E6"/>
    <w:rsid w:val="00F441FF"/>
    <w:rsid w:val="00F44CE6"/>
    <w:rsid w:val="00F45055"/>
    <w:rsid w:val="00F450C9"/>
    <w:rsid w:val="00F459F9"/>
    <w:rsid w:val="00F45ED8"/>
    <w:rsid w:val="00F5080C"/>
    <w:rsid w:val="00F51385"/>
    <w:rsid w:val="00F52BC9"/>
    <w:rsid w:val="00F53385"/>
    <w:rsid w:val="00F53DD0"/>
    <w:rsid w:val="00F550A1"/>
    <w:rsid w:val="00F55AD4"/>
    <w:rsid w:val="00F56C35"/>
    <w:rsid w:val="00F5768C"/>
    <w:rsid w:val="00F60C66"/>
    <w:rsid w:val="00F635DA"/>
    <w:rsid w:val="00F64D85"/>
    <w:rsid w:val="00F64F1F"/>
    <w:rsid w:val="00F66950"/>
    <w:rsid w:val="00F67AAB"/>
    <w:rsid w:val="00F711EC"/>
    <w:rsid w:val="00F71A1A"/>
    <w:rsid w:val="00F723F0"/>
    <w:rsid w:val="00F7278D"/>
    <w:rsid w:val="00F73F0A"/>
    <w:rsid w:val="00F74B47"/>
    <w:rsid w:val="00F74F1E"/>
    <w:rsid w:val="00F771A2"/>
    <w:rsid w:val="00F77353"/>
    <w:rsid w:val="00F77C6C"/>
    <w:rsid w:val="00F80000"/>
    <w:rsid w:val="00F8060F"/>
    <w:rsid w:val="00F80ED8"/>
    <w:rsid w:val="00F820B4"/>
    <w:rsid w:val="00F829AD"/>
    <w:rsid w:val="00F82B2C"/>
    <w:rsid w:val="00F832D4"/>
    <w:rsid w:val="00F83820"/>
    <w:rsid w:val="00F85A0A"/>
    <w:rsid w:val="00F86FB7"/>
    <w:rsid w:val="00F871CE"/>
    <w:rsid w:val="00F87AEB"/>
    <w:rsid w:val="00F90134"/>
    <w:rsid w:val="00F90D6C"/>
    <w:rsid w:val="00F91683"/>
    <w:rsid w:val="00F9248C"/>
    <w:rsid w:val="00F92A84"/>
    <w:rsid w:val="00F95D45"/>
    <w:rsid w:val="00F967F3"/>
    <w:rsid w:val="00FA12A3"/>
    <w:rsid w:val="00FA14E6"/>
    <w:rsid w:val="00FA15E0"/>
    <w:rsid w:val="00FA3798"/>
    <w:rsid w:val="00FA412F"/>
    <w:rsid w:val="00FA4742"/>
    <w:rsid w:val="00FA4D33"/>
    <w:rsid w:val="00FA5154"/>
    <w:rsid w:val="00FB14D3"/>
    <w:rsid w:val="00FB19A1"/>
    <w:rsid w:val="00FB26E5"/>
    <w:rsid w:val="00FB2DEF"/>
    <w:rsid w:val="00FB2E0F"/>
    <w:rsid w:val="00FB42B8"/>
    <w:rsid w:val="00FB5198"/>
    <w:rsid w:val="00FC0FB9"/>
    <w:rsid w:val="00FC156D"/>
    <w:rsid w:val="00FC2896"/>
    <w:rsid w:val="00FC345E"/>
    <w:rsid w:val="00FC3500"/>
    <w:rsid w:val="00FC4BC6"/>
    <w:rsid w:val="00FC4EDF"/>
    <w:rsid w:val="00FC515E"/>
    <w:rsid w:val="00FC5D25"/>
    <w:rsid w:val="00FC6D15"/>
    <w:rsid w:val="00FC6E1C"/>
    <w:rsid w:val="00FC7808"/>
    <w:rsid w:val="00FC7877"/>
    <w:rsid w:val="00FC7BA8"/>
    <w:rsid w:val="00FC7F73"/>
    <w:rsid w:val="00FD0CC3"/>
    <w:rsid w:val="00FD1E8A"/>
    <w:rsid w:val="00FD229C"/>
    <w:rsid w:val="00FD30DE"/>
    <w:rsid w:val="00FD63F0"/>
    <w:rsid w:val="00FD699C"/>
    <w:rsid w:val="00FD7830"/>
    <w:rsid w:val="00FD7C97"/>
    <w:rsid w:val="00FE107A"/>
    <w:rsid w:val="00FE2153"/>
    <w:rsid w:val="00FE2210"/>
    <w:rsid w:val="00FE41F4"/>
    <w:rsid w:val="00FE5318"/>
    <w:rsid w:val="00FE54EE"/>
    <w:rsid w:val="00FE57D3"/>
    <w:rsid w:val="00FE5DCA"/>
    <w:rsid w:val="00FE656A"/>
    <w:rsid w:val="00FE6B43"/>
    <w:rsid w:val="00FF046D"/>
    <w:rsid w:val="00FF0684"/>
    <w:rsid w:val="00FF0759"/>
    <w:rsid w:val="00FF0F21"/>
    <w:rsid w:val="00FF1494"/>
    <w:rsid w:val="00FF17A3"/>
    <w:rsid w:val="00FF1FEC"/>
    <w:rsid w:val="00FF3463"/>
    <w:rsid w:val="00FF6812"/>
    <w:rsid w:val="00FF6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DF9729"/>
  <w15:chartTrackingRefBased/>
  <w15:docId w15:val="{1B34BB92-E767-4E90-A39B-2B700DC3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E09"/>
  </w:style>
  <w:style w:type="paragraph" w:styleId="Heading1">
    <w:name w:val="heading 1"/>
    <w:basedOn w:val="Normal"/>
    <w:next w:val="Normal"/>
    <w:link w:val="Heading1Char"/>
    <w:uiPriority w:val="9"/>
    <w:qFormat/>
    <w:rsid w:val="00162E0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162E0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62E09"/>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162E09"/>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162E09"/>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162E09"/>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162E0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162E0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162E0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STD">
    <w:name w:val="Heading 1 (STD)"/>
    <w:basedOn w:val="Normal"/>
    <w:rsid w:val="006E7794"/>
    <w:pPr>
      <w:pBdr>
        <w:bottom w:val="single" w:sz="36" w:space="1" w:color="auto"/>
      </w:pBdr>
    </w:pPr>
    <w:rPr>
      <w:b/>
      <w:sz w:val="48"/>
    </w:rPr>
  </w:style>
  <w:style w:type="paragraph" w:customStyle="1" w:styleId="Heading1STD0">
    <w:name w:val="Heading1 (STD)"/>
    <w:basedOn w:val="Heading2"/>
    <w:rsid w:val="004609DE"/>
    <w:pPr>
      <w:pBdr>
        <w:bottom w:val="single" w:sz="24" w:space="0" w:color="2E74B5" w:themeColor="accent1" w:themeShade="BF"/>
      </w:pBdr>
      <w:spacing w:after="240"/>
    </w:pPr>
    <w:rPr>
      <w:rFonts w:ascii="Times New Roman" w:hAnsi="Times New Roman"/>
      <w:b/>
      <w:color w:val="auto"/>
      <w:sz w:val="56"/>
    </w:rPr>
  </w:style>
  <w:style w:type="character" w:customStyle="1" w:styleId="Heading2Char">
    <w:name w:val="Heading 2 Char"/>
    <w:basedOn w:val="DefaultParagraphFont"/>
    <w:link w:val="Heading2"/>
    <w:uiPriority w:val="9"/>
    <w:rsid w:val="00162E09"/>
    <w:rPr>
      <w:rFonts w:asciiTheme="majorHAnsi" w:eastAsiaTheme="majorEastAsia" w:hAnsiTheme="majorHAnsi" w:cstheme="majorBidi"/>
      <w:color w:val="2E74B5" w:themeColor="accent1" w:themeShade="BF"/>
      <w:sz w:val="32"/>
      <w:szCs w:val="32"/>
    </w:rPr>
  </w:style>
  <w:style w:type="paragraph" w:customStyle="1" w:styleId="HeadingOPHIE">
    <w:name w:val="HeadingOPHIE"/>
    <w:basedOn w:val="Heading1"/>
    <w:next w:val="Heading1STD"/>
    <w:link w:val="HeadingOPHIEChar"/>
    <w:rsid w:val="004609DE"/>
    <w:pPr>
      <w:pBdr>
        <w:bottom w:val="single" w:sz="24" w:space="0" w:color="2E74B5" w:themeColor="accent1" w:themeShade="BF"/>
      </w:pBdr>
      <w:spacing w:after="240"/>
    </w:pPr>
    <w:rPr>
      <w:rFonts w:ascii="Times New Roman" w:hAnsi="Times New Roman"/>
      <w:b/>
      <w:kern w:val="28"/>
      <w:sz w:val="56"/>
      <w:szCs w:val="23"/>
      <w14:ligatures w14:val="standard"/>
      <w14:cntxtAlts/>
    </w:rPr>
  </w:style>
  <w:style w:type="character" w:customStyle="1" w:styleId="HeadingOPHIEChar">
    <w:name w:val="HeadingOPHIE Char"/>
    <w:basedOn w:val="Heading1Char"/>
    <w:link w:val="HeadingOPHIE"/>
    <w:rsid w:val="004609DE"/>
    <w:rPr>
      <w:rFonts w:ascii="Times New Roman" w:eastAsiaTheme="majorEastAsia" w:hAnsi="Times New Roman" w:cstheme="majorBidi"/>
      <w:b/>
      <w:color w:val="2E74B5" w:themeColor="accent1" w:themeShade="BF"/>
      <w:kern w:val="28"/>
      <w:sz w:val="56"/>
      <w:szCs w:val="23"/>
      <w14:ligatures w14:val="standard"/>
      <w14:cntxtAlts/>
    </w:rPr>
  </w:style>
  <w:style w:type="character" w:customStyle="1" w:styleId="Heading1Char">
    <w:name w:val="Heading 1 Char"/>
    <w:basedOn w:val="DefaultParagraphFont"/>
    <w:link w:val="Heading1"/>
    <w:uiPriority w:val="9"/>
    <w:rsid w:val="00162E09"/>
    <w:rPr>
      <w:rFonts w:asciiTheme="majorHAnsi" w:eastAsiaTheme="majorEastAsia" w:hAnsiTheme="majorHAnsi" w:cstheme="majorBidi"/>
      <w:color w:val="1F4E79" w:themeColor="accent1" w:themeShade="80"/>
      <w:sz w:val="36"/>
      <w:szCs w:val="36"/>
    </w:rPr>
  </w:style>
  <w:style w:type="paragraph" w:styleId="Header">
    <w:name w:val="header"/>
    <w:basedOn w:val="Normal"/>
    <w:link w:val="HeaderChar"/>
    <w:uiPriority w:val="99"/>
    <w:unhideWhenUsed/>
    <w:rsid w:val="00DF5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ED5"/>
  </w:style>
  <w:style w:type="paragraph" w:styleId="Footer">
    <w:name w:val="footer"/>
    <w:basedOn w:val="Normal"/>
    <w:link w:val="FooterChar"/>
    <w:uiPriority w:val="99"/>
    <w:unhideWhenUsed/>
    <w:rsid w:val="00DF5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ED5"/>
  </w:style>
  <w:style w:type="paragraph" w:styleId="Title">
    <w:name w:val="Title"/>
    <w:basedOn w:val="Normal"/>
    <w:next w:val="Normal"/>
    <w:link w:val="TitleChar"/>
    <w:uiPriority w:val="10"/>
    <w:qFormat/>
    <w:rsid w:val="00162E0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62E09"/>
    <w:rPr>
      <w:rFonts w:asciiTheme="majorHAnsi" w:eastAsiaTheme="majorEastAsia" w:hAnsiTheme="majorHAnsi" w:cstheme="majorBidi"/>
      <w:caps/>
      <w:color w:val="44546A" w:themeColor="text2"/>
      <w:spacing w:val="-15"/>
      <w:sz w:val="72"/>
      <w:szCs w:val="72"/>
    </w:rPr>
  </w:style>
  <w:style w:type="paragraph" w:styleId="NoSpacing">
    <w:name w:val="No Spacing"/>
    <w:uiPriority w:val="1"/>
    <w:qFormat/>
    <w:rsid w:val="00162E09"/>
    <w:pPr>
      <w:spacing w:after="0" w:line="240" w:lineRule="auto"/>
    </w:pPr>
  </w:style>
  <w:style w:type="paragraph" w:styleId="TOCHeading">
    <w:name w:val="TOC Heading"/>
    <w:basedOn w:val="Heading1"/>
    <w:next w:val="Normal"/>
    <w:uiPriority w:val="39"/>
    <w:unhideWhenUsed/>
    <w:qFormat/>
    <w:rsid w:val="00162E09"/>
    <w:pPr>
      <w:outlineLvl w:val="9"/>
    </w:pPr>
  </w:style>
  <w:style w:type="paragraph" w:styleId="TOC2">
    <w:name w:val="toc 2"/>
    <w:basedOn w:val="Normal"/>
    <w:next w:val="Normal"/>
    <w:autoRedefine/>
    <w:uiPriority w:val="39"/>
    <w:unhideWhenUsed/>
    <w:rsid w:val="00DF5ED5"/>
    <w:pPr>
      <w:tabs>
        <w:tab w:val="right" w:leader="dot" w:pos="10790"/>
      </w:tabs>
      <w:spacing w:line="240" w:lineRule="auto"/>
    </w:pPr>
    <w:rPr>
      <w:rFonts w:ascii="Arial Narrow" w:hAnsi="Arial Narrow"/>
      <w:sz w:val="23"/>
    </w:rPr>
  </w:style>
  <w:style w:type="character" w:styleId="Hyperlink">
    <w:name w:val="Hyperlink"/>
    <w:basedOn w:val="DefaultParagraphFont"/>
    <w:uiPriority w:val="99"/>
    <w:unhideWhenUsed/>
    <w:rsid w:val="00DF5ED5"/>
    <w:rPr>
      <w:color w:val="0563C1" w:themeColor="hyperlink"/>
      <w:u w:val="single"/>
    </w:rPr>
  </w:style>
  <w:style w:type="paragraph" w:styleId="Caption">
    <w:name w:val="caption"/>
    <w:aliases w:val="Caption STD"/>
    <w:basedOn w:val="Normal"/>
    <w:next w:val="Normal"/>
    <w:uiPriority w:val="35"/>
    <w:unhideWhenUsed/>
    <w:qFormat/>
    <w:rsid w:val="00162E09"/>
    <w:pPr>
      <w:spacing w:line="240" w:lineRule="auto"/>
    </w:pPr>
    <w:rPr>
      <w:b/>
      <w:bCs/>
      <w:smallCaps/>
      <w:color w:val="44546A" w:themeColor="text2"/>
    </w:rPr>
  </w:style>
  <w:style w:type="paragraph" w:styleId="NormalWeb">
    <w:name w:val="Normal (Web)"/>
    <w:basedOn w:val="Normal"/>
    <w:uiPriority w:val="99"/>
    <w:unhideWhenUsed/>
    <w:rsid w:val="00DF5E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5E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ED5"/>
    <w:rPr>
      <w:rFonts w:ascii="Segoe UI" w:hAnsi="Segoe UI" w:cs="Segoe UI"/>
      <w:sz w:val="18"/>
      <w:szCs w:val="18"/>
    </w:rPr>
  </w:style>
  <w:style w:type="paragraph" w:customStyle="1" w:styleId="Heading2STD">
    <w:name w:val="Heading2 (STD)"/>
    <w:basedOn w:val="Heading2"/>
    <w:rsid w:val="00DF5ED5"/>
    <w:pPr>
      <w:spacing w:before="240"/>
    </w:pPr>
    <w:rPr>
      <w:b/>
    </w:rPr>
  </w:style>
  <w:style w:type="paragraph" w:customStyle="1" w:styleId="TextSTD">
    <w:name w:val="Text (STD)"/>
    <w:basedOn w:val="Normal"/>
    <w:link w:val="TextSTDChar"/>
    <w:rsid w:val="00DF5ED5"/>
    <w:pPr>
      <w:spacing w:before="240" w:after="240" w:line="240" w:lineRule="auto"/>
    </w:pPr>
    <w:rPr>
      <w:rFonts w:ascii="Times New Roman" w:hAnsi="Times New Roman" w:cs="Times New Roman"/>
      <w:sz w:val="24"/>
    </w:rPr>
  </w:style>
  <w:style w:type="character" w:customStyle="1" w:styleId="TextSTDChar">
    <w:name w:val="Text (STD) Char"/>
    <w:basedOn w:val="DefaultParagraphFont"/>
    <w:link w:val="TextSTD"/>
    <w:rsid w:val="00DF5ED5"/>
    <w:rPr>
      <w:rFonts w:ascii="Times New Roman" w:hAnsi="Times New Roman" w:cs="Times New Roman"/>
      <w:sz w:val="24"/>
    </w:rPr>
  </w:style>
  <w:style w:type="character" w:styleId="CommentReference">
    <w:name w:val="annotation reference"/>
    <w:basedOn w:val="DefaultParagraphFont"/>
    <w:uiPriority w:val="99"/>
    <w:semiHidden/>
    <w:unhideWhenUsed/>
    <w:rsid w:val="00DF5ED5"/>
    <w:rPr>
      <w:sz w:val="16"/>
      <w:szCs w:val="16"/>
    </w:rPr>
  </w:style>
  <w:style w:type="paragraph" w:styleId="CommentText">
    <w:name w:val="annotation text"/>
    <w:basedOn w:val="Normal"/>
    <w:link w:val="CommentTextChar"/>
    <w:uiPriority w:val="99"/>
    <w:unhideWhenUsed/>
    <w:rsid w:val="00DF5ED5"/>
    <w:pPr>
      <w:spacing w:line="240" w:lineRule="auto"/>
    </w:pPr>
    <w:rPr>
      <w:sz w:val="20"/>
      <w:szCs w:val="20"/>
    </w:rPr>
  </w:style>
  <w:style w:type="character" w:customStyle="1" w:styleId="CommentTextChar">
    <w:name w:val="Comment Text Char"/>
    <w:basedOn w:val="DefaultParagraphFont"/>
    <w:link w:val="CommentText"/>
    <w:uiPriority w:val="99"/>
    <w:rsid w:val="00DF5ED5"/>
    <w:rPr>
      <w:sz w:val="20"/>
      <w:szCs w:val="20"/>
    </w:rPr>
  </w:style>
  <w:style w:type="paragraph" w:styleId="CommentSubject">
    <w:name w:val="annotation subject"/>
    <w:basedOn w:val="CommentText"/>
    <w:next w:val="CommentText"/>
    <w:link w:val="CommentSubjectChar"/>
    <w:uiPriority w:val="99"/>
    <w:semiHidden/>
    <w:unhideWhenUsed/>
    <w:rsid w:val="00DF5ED5"/>
    <w:rPr>
      <w:b/>
      <w:bCs/>
    </w:rPr>
  </w:style>
  <w:style w:type="character" w:customStyle="1" w:styleId="CommentSubjectChar">
    <w:name w:val="Comment Subject Char"/>
    <w:basedOn w:val="CommentTextChar"/>
    <w:link w:val="CommentSubject"/>
    <w:uiPriority w:val="99"/>
    <w:semiHidden/>
    <w:rsid w:val="00DF5ED5"/>
    <w:rPr>
      <w:b/>
      <w:bCs/>
      <w:sz w:val="20"/>
      <w:szCs w:val="20"/>
    </w:rPr>
  </w:style>
  <w:style w:type="paragraph" w:styleId="TableofFigures">
    <w:name w:val="table of figures"/>
    <w:basedOn w:val="Normal"/>
    <w:next w:val="Normal"/>
    <w:uiPriority w:val="99"/>
    <w:unhideWhenUsed/>
    <w:rsid w:val="00DF5ED5"/>
    <w:pPr>
      <w:spacing w:line="240" w:lineRule="auto"/>
    </w:pPr>
    <w:rPr>
      <w:rFonts w:ascii="Arial Narrow" w:hAnsi="Arial Narrow"/>
      <w:sz w:val="23"/>
    </w:rPr>
  </w:style>
  <w:style w:type="paragraph" w:customStyle="1" w:styleId="Default">
    <w:name w:val="Default"/>
    <w:rsid w:val="00DF5ED5"/>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F5E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5ED5"/>
    <w:rPr>
      <w:sz w:val="20"/>
      <w:szCs w:val="20"/>
    </w:rPr>
  </w:style>
  <w:style w:type="character" w:styleId="EndnoteReference">
    <w:name w:val="endnote reference"/>
    <w:basedOn w:val="DefaultParagraphFont"/>
    <w:uiPriority w:val="99"/>
    <w:semiHidden/>
    <w:unhideWhenUsed/>
    <w:rsid w:val="00DF5ED5"/>
    <w:rPr>
      <w:vertAlign w:val="superscript"/>
    </w:rPr>
  </w:style>
  <w:style w:type="paragraph" w:styleId="Bibliography">
    <w:name w:val="Bibliography"/>
    <w:basedOn w:val="Normal"/>
    <w:next w:val="Normal"/>
    <w:uiPriority w:val="37"/>
    <w:unhideWhenUsed/>
    <w:rsid w:val="00DF5ED5"/>
  </w:style>
  <w:style w:type="paragraph" w:styleId="ListParagraph">
    <w:name w:val="List Paragraph"/>
    <w:basedOn w:val="Normal"/>
    <w:uiPriority w:val="34"/>
    <w:qFormat/>
    <w:rsid w:val="00DF5ED5"/>
    <w:pPr>
      <w:ind w:left="720"/>
      <w:contextualSpacing/>
    </w:pPr>
  </w:style>
  <w:style w:type="character" w:styleId="FollowedHyperlink">
    <w:name w:val="FollowedHyperlink"/>
    <w:basedOn w:val="DefaultParagraphFont"/>
    <w:uiPriority w:val="99"/>
    <w:semiHidden/>
    <w:unhideWhenUsed/>
    <w:rsid w:val="00DF5ED5"/>
    <w:rPr>
      <w:color w:val="954F72" w:themeColor="followedHyperlink"/>
      <w:u w:val="single"/>
    </w:rPr>
  </w:style>
  <w:style w:type="paragraph" w:styleId="TOC1">
    <w:name w:val="toc 1"/>
    <w:basedOn w:val="Normal"/>
    <w:next w:val="Normal"/>
    <w:autoRedefine/>
    <w:uiPriority w:val="39"/>
    <w:semiHidden/>
    <w:unhideWhenUsed/>
    <w:rsid w:val="00DF5ED5"/>
    <w:pPr>
      <w:spacing w:line="240" w:lineRule="auto"/>
      <w:contextualSpacing/>
    </w:pPr>
    <w:rPr>
      <w:rFonts w:ascii="Arial Narrow" w:hAnsi="Arial Narrow"/>
      <w:sz w:val="23"/>
    </w:rPr>
  </w:style>
  <w:style w:type="paragraph" w:styleId="Revision">
    <w:name w:val="Revision"/>
    <w:hidden/>
    <w:uiPriority w:val="99"/>
    <w:semiHidden/>
    <w:rsid w:val="00DF5ED5"/>
    <w:pPr>
      <w:spacing w:after="0" w:line="240" w:lineRule="auto"/>
    </w:pPr>
  </w:style>
  <w:style w:type="paragraph" w:customStyle="1" w:styleId="TextOPHIE">
    <w:name w:val="TextOPHIE"/>
    <w:basedOn w:val="Normal"/>
    <w:link w:val="TextOPHIEChar"/>
    <w:rsid w:val="00FB19A1"/>
    <w:pPr>
      <w:autoSpaceDE w:val="0"/>
      <w:autoSpaceDN w:val="0"/>
      <w:adjustRightInd w:val="0"/>
      <w:spacing w:after="0" w:line="240" w:lineRule="auto"/>
    </w:pPr>
    <w:rPr>
      <w:rFonts w:ascii="Arial Narrow" w:hAnsi="Arial Narrow" w:cs="Times New Roman"/>
      <w:sz w:val="23"/>
      <w:szCs w:val="23"/>
    </w:rPr>
  </w:style>
  <w:style w:type="paragraph" w:customStyle="1" w:styleId="Style1">
    <w:name w:val="Style1"/>
    <w:basedOn w:val="TextOPHIE"/>
    <w:link w:val="Style1Char"/>
    <w:rsid w:val="00C14C22"/>
    <w:rPr>
      <w:b/>
      <w:color w:val="2E74B5" w:themeColor="accent1" w:themeShade="BF"/>
    </w:rPr>
  </w:style>
  <w:style w:type="character" w:customStyle="1" w:styleId="TextOPHIEChar">
    <w:name w:val="TextOPHIE Char"/>
    <w:basedOn w:val="DefaultParagraphFont"/>
    <w:link w:val="TextOPHIE"/>
    <w:rsid w:val="00FB19A1"/>
    <w:rPr>
      <w:rFonts w:ascii="Arial Narrow" w:hAnsi="Arial Narrow" w:cs="Times New Roman"/>
      <w:sz w:val="23"/>
      <w:szCs w:val="23"/>
    </w:rPr>
  </w:style>
  <w:style w:type="character" w:customStyle="1" w:styleId="Style1Char">
    <w:name w:val="Style1 Char"/>
    <w:basedOn w:val="TextOPHIEChar"/>
    <w:link w:val="Style1"/>
    <w:rsid w:val="00C14C22"/>
    <w:rPr>
      <w:rFonts w:ascii="Arial Narrow" w:hAnsi="Arial Narrow" w:cs="Times New Roman"/>
      <w:b/>
      <w:color w:val="2E74B5" w:themeColor="accent1" w:themeShade="BF"/>
      <w:sz w:val="23"/>
      <w:szCs w:val="23"/>
    </w:rPr>
  </w:style>
  <w:style w:type="paragraph" w:styleId="FootnoteText">
    <w:name w:val="footnote text"/>
    <w:basedOn w:val="Normal"/>
    <w:link w:val="FootnoteTextChar"/>
    <w:uiPriority w:val="99"/>
    <w:unhideWhenUsed/>
    <w:rsid w:val="00FD0CC3"/>
    <w:pPr>
      <w:spacing w:after="0" w:line="240" w:lineRule="auto"/>
    </w:pPr>
    <w:rPr>
      <w:rFonts w:ascii="Calibri" w:hAnsi="Calibri" w:cs="Times New Roman"/>
      <w:sz w:val="20"/>
      <w:szCs w:val="20"/>
      <w:lang w:eastAsia="x-none"/>
    </w:rPr>
  </w:style>
  <w:style w:type="character" w:customStyle="1" w:styleId="FootnoteTextChar">
    <w:name w:val="Footnote Text Char"/>
    <w:basedOn w:val="DefaultParagraphFont"/>
    <w:link w:val="FootnoteText"/>
    <w:uiPriority w:val="99"/>
    <w:rsid w:val="00FD0CC3"/>
    <w:rPr>
      <w:rFonts w:ascii="Calibri" w:hAnsi="Calibri" w:cs="Times New Roman"/>
      <w:sz w:val="20"/>
      <w:szCs w:val="20"/>
      <w:lang w:eastAsia="x-none"/>
    </w:rPr>
  </w:style>
  <w:style w:type="character" w:styleId="FootnoteReference">
    <w:name w:val="footnote reference"/>
    <w:basedOn w:val="DefaultParagraphFont"/>
    <w:uiPriority w:val="99"/>
    <w:semiHidden/>
    <w:unhideWhenUsed/>
    <w:rsid w:val="00FD0CC3"/>
    <w:rPr>
      <w:vertAlign w:val="superscript"/>
    </w:rPr>
  </w:style>
  <w:style w:type="paragraph" w:styleId="HTMLPreformatted">
    <w:name w:val="HTML Preformatted"/>
    <w:basedOn w:val="Normal"/>
    <w:link w:val="HTMLPreformattedChar"/>
    <w:uiPriority w:val="99"/>
    <w:unhideWhenUsed/>
    <w:rsid w:val="003C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C5C75"/>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62E09"/>
    <w:rPr>
      <w:rFonts w:asciiTheme="majorHAnsi" w:eastAsiaTheme="majorEastAsia" w:hAnsiTheme="majorHAnsi" w:cstheme="majorBidi"/>
      <w:color w:val="2E74B5" w:themeColor="accent1" w:themeShade="BF"/>
      <w:sz w:val="24"/>
      <w:szCs w:val="24"/>
    </w:rPr>
  </w:style>
  <w:style w:type="character" w:styleId="UnresolvedMention">
    <w:name w:val="Unresolved Mention"/>
    <w:basedOn w:val="DefaultParagraphFont"/>
    <w:uiPriority w:val="99"/>
    <w:semiHidden/>
    <w:unhideWhenUsed/>
    <w:rsid w:val="003E12FD"/>
    <w:rPr>
      <w:color w:val="605E5C"/>
      <w:shd w:val="clear" w:color="auto" w:fill="E1DFDD"/>
    </w:rPr>
  </w:style>
  <w:style w:type="character" w:customStyle="1" w:styleId="style181">
    <w:name w:val="style181"/>
    <w:basedOn w:val="DefaultParagraphFont"/>
    <w:rsid w:val="00AF39BC"/>
    <w:rPr>
      <w:color w:val="0000FF"/>
    </w:rPr>
  </w:style>
  <w:style w:type="character" w:customStyle="1" w:styleId="style191">
    <w:name w:val="style191"/>
    <w:basedOn w:val="DefaultParagraphFont"/>
    <w:rsid w:val="00AF39BC"/>
    <w:rPr>
      <w:color w:val="0000FF"/>
    </w:rPr>
  </w:style>
  <w:style w:type="character" w:styleId="Strong">
    <w:name w:val="Strong"/>
    <w:basedOn w:val="DefaultParagraphFont"/>
    <w:uiPriority w:val="22"/>
    <w:qFormat/>
    <w:rsid w:val="00162E09"/>
    <w:rPr>
      <w:b/>
      <w:bCs/>
    </w:rPr>
  </w:style>
  <w:style w:type="character" w:styleId="Emphasis">
    <w:name w:val="Emphasis"/>
    <w:basedOn w:val="DefaultParagraphFont"/>
    <w:uiPriority w:val="20"/>
    <w:qFormat/>
    <w:rsid w:val="00162E09"/>
    <w:rPr>
      <w:i/>
      <w:iCs/>
    </w:rPr>
  </w:style>
  <w:style w:type="character" w:customStyle="1" w:styleId="Heading3Char">
    <w:name w:val="Heading 3 Char"/>
    <w:basedOn w:val="DefaultParagraphFont"/>
    <w:link w:val="Heading3"/>
    <w:uiPriority w:val="9"/>
    <w:semiHidden/>
    <w:rsid w:val="00162E09"/>
    <w:rPr>
      <w:rFonts w:asciiTheme="majorHAnsi" w:eastAsiaTheme="majorEastAsia" w:hAnsiTheme="majorHAnsi" w:cstheme="majorBidi"/>
      <w:color w:val="2E74B5" w:themeColor="accent1" w:themeShade="BF"/>
      <w:sz w:val="28"/>
      <w:szCs w:val="28"/>
    </w:rPr>
  </w:style>
  <w:style w:type="character" w:customStyle="1" w:styleId="Heading5Char">
    <w:name w:val="Heading 5 Char"/>
    <w:basedOn w:val="DefaultParagraphFont"/>
    <w:link w:val="Heading5"/>
    <w:uiPriority w:val="9"/>
    <w:semiHidden/>
    <w:rsid w:val="00162E0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162E0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162E0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162E0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162E09"/>
    <w:rPr>
      <w:rFonts w:asciiTheme="majorHAnsi" w:eastAsiaTheme="majorEastAsia" w:hAnsiTheme="majorHAnsi" w:cstheme="majorBidi"/>
      <w:i/>
      <w:iCs/>
      <w:color w:val="1F4E79" w:themeColor="accent1" w:themeShade="80"/>
    </w:rPr>
  </w:style>
  <w:style w:type="paragraph" w:styleId="Subtitle">
    <w:name w:val="Subtitle"/>
    <w:basedOn w:val="Normal"/>
    <w:next w:val="Normal"/>
    <w:link w:val="SubtitleChar"/>
    <w:uiPriority w:val="11"/>
    <w:qFormat/>
    <w:rsid w:val="00162E09"/>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162E09"/>
    <w:rPr>
      <w:rFonts w:asciiTheme="majorHAnsi" w:eastAsiaTheme="majorEastAsia" w:hAnsiTheme="majorHAnsi" w:cstheme="majorBidi"/>
      <w:color w:val="5B9BD5" w:themeColor="accent1"/>
      <w:sz w:val="28"/>
      <w:szCs w:val="28"/>
    </w:rPr>
  </w:style>
  <w:style w:type="paragraph" w:styleId="Quote">
    <w:name w:val="Quote"/>
    <w:basedOn w:val="Normal"/>
    <w:next w:val="Normal"/>
    <w:link w:val="QuoteChar"/>
    <w:uiPriority w:val="29"/>
    <w:qFormat/>
    <w:rsid w:val="00162E09"/>
    <w:pPr>
      <w:spacing w:before="120"/>
      <w:ind w:left="720"/>
    </w:pPr>
    <w:rPr>
      <w:color w:val="44546A" w:themeColor="text2"/>
      <w:sz w:val="24"/>
      <w:szCs w:val="24"/>
    </w:rPr>
  </w:style>
  <w:style w:type="character" w:customStyle="1" w:styleId="QuoteChar">
    <w:name w:val="Quote Char"/>
    <w:basedOn w:val="DefaultParagraphFont"/>
    <w:link w:val="Quote"/>
    <w:uiPriority w:val="29"/>
    <w:rsid w:val="00162E09"/>
    <w:rPr>
      <w:color w:val="44546A" w:themeColor="text2"/>
      <w:sz w:val="24"/>
      <w:szCs w:val="24"/>
    </w:rPr>
  </w:style>
  <w:style w:type="paragraph" w:styleId="IntenseQuote">
    <w:name w:val="Intense Quote"/>
    <w:basedOn w:val="Normal"/>
    <w:next w:val="Normal"/>
    <w:link w:val="IntenseQuoteChar"/>
    <w:uiPriority w:val="30"/>
    <w:qFormat/>
    <w:rsid w:val="00162E0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62E0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62E09"/>
    <w:rPr>
      <w:i/>
      <w:iCs/>
      <w:color w:val="595959" w:themeColor="text1" w:themeTint="A6"/>
    </w:rPr>
  </w:style>
  <w:style w:type="character" w:styleId="IntenseEmphasis">
    <w:name w:val="Intense Emphasis"/>
    <w:basedOn w:val="DefaultParagraphFont"/>
    <w:uiPriority w:val="21"/>
    <w:qFormat/>
    <w:rsid w:val="00162E09"/>
    <w:rPr>
      <w:b/>
      <w:bCs/>
      <w:i/>
      <w:iCs/>
    </w:rPr>
  </w:style>
  <w:style w:type="character" w:styleId="SubtleReference">
    <w:name w:val="Subtle Reference"/>
    <w:basedOn w:val="DefaultParagraphFont"/>
    <w:uiPriority w:val="31"/>
    <w:qFormat/>
    <w:rsid w:val="00162E0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62E09"/>
    <w:rPr>
      <w:b/>
      <w:bCs/>
      <w:smallCaps/>
      <w:color w:val="44546A" w:themeColor="text2"/>
      <w:u w:val="single"/>
    </w:rPr>
  </w:style>
  <w:style w:type="character" w:styleId="BookTitle">
    <w:name w:val="Book Title"/>
    <w:basedOn w:val="DefaultParagraphFont"/>
    <w:uiPriority w:val="33"/>
    <w:qFormat/>
    <w:rsid w:val="00162E09"/>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52">
      <w:bodyDiv w:val="1"/>
      <w:marLeft w:val="0"/>
      <w:marRight w:val="0"/>
      <w:marTop w:val="0"/>
      <w:marBottom w:val="0"/>
      <w:divBdr>
        <w:top w:val="none" w:sz="0" w:space="0" w:color="auto"/>
        <w:left w:val="none" w:sz="0" w:space="0" w:color="auto"/>
        <w:bottom w:val="none" w:sz="0" w:space="0" w:color="auto"/>
        <w:right w:val="none" w:sz="0" w:space="0" w:color="auto"/>
      </w:divBdr>
    </w:div>
    <w:div w:id="23293028">
      <w:bodyDiv w:val="1"/>
      <w:marLeft w:val="0"/>
      <w:marRight w:val="0"/>
      <w:marTop w:val="0"/>
      <w:marBottom w:val="0"/>
      <w:divBdr>
        <w:top w:val="none" w:sz="0" w:space="0" w:color="auto"/>
        <w:left w:val="none" w:sz="0" w:space="0" w:color="auto"/>
        <w:bottom w:val="none" w:sz="0" w:space="0" w:color="auto"/>
        <w:right w:val="none" w:sz="0" w:space="0" w:color="auto"/>
      </w:divBdr>
    </w:div>
    <w:div w:id="26608522">
      <w:bodyDiv w:val="1"/>
      <w:marLeft w:val="0"/>
      <w:marRight w:val="0"/>
      <w:marTop w:val="0"/>
      <w:marBottom w:val="0"/>
      <w:divBdr>
        <w:top w:val="none" w:sz="0" w:space="0" w:color="auto"/>
        <w:left w:val="none" w:sz="0" w:space="0" w:color="auto"/>
        <w:bottom w:val="none" w:sz="0" w:space="0" w:color="auto"/>
        <w:right w:val="none" w:sz="0" w:space="0" w:color="auto"/>
      </w:divBdr>
    </w:div>
    <w:div w:id="37097033">
      <w:bodyDiv w:val="1"/>
      <w:marLeft w:val="0"/>
      <w:marRight w:val="0"/>
      <w:marTop w:val="0"/>
      <w:marBottom w:val="0"/>
      <w:divBdr>
        <w:top w:val="none" w:sz="0" w:space="0" w:color="auto"/>
        <w:left w:val="none" w:sz="0" w:space="0" w:color="auto"/>
        <w:bottom w:val="none" w:sz="0" w:space="0" w:color="auto"/>
        <w:right w:val="none" w:sz="0" w:space="0" w:color="auto"/>
      </w:divBdr>
    </w:div>
    <w:div w:id="73624859">
      <w:bodyDiv w:val="1"/>
      <w:marLeft w:val="0"/>
      <w:marRight w:val="0"/>
      <w:marTop w:val="0"/>
      <w:marBottom w:val="0"/>
      <w:divBdr>
        <w:top w:val="none" w:sz="0" w:space="0" w:color="auto"/>
        <w:left w:val="none" w:sz="0" w:space="0" w:color="auto"/>
        <w:bottom w:val="none" w:sz="0" w:space="0" w:color="auto"/>
        <w:right w:val="none" w:sz="0" w:space="0" w:color="auto"/>
      </w:divBdr>
    </w:div>
    <w:div w:id="106587964">
      <w:bodyDiv w:val="1"/>
      <w:marLeft w:val="0"/>
      <w:marRight w:val="0"/>
      <w:marTop w:val="0"/>
      <w:marBottom w:val="0"/>
      <w:divBdr>
        <w:top w:val="none" w:sz="0" w:space="0" w:color="auto"/>
        <w:left w:val="none" w:sz="0" w:space="0" w:color="auto"/>
        <w:bottom w:val="none" w:sz="0" w:space="0" w:color="auto"/>
        <w:right w:val="none" w:sz="0" w:space="0" w:color="auto"/>
      </w:divBdr>
    </w:div>
    <w:div w:id="146096218">
      <w:bodyDiv w:val="1"/>
      <w:marLeft w:val="0"/>
      <w:marRight w:val="0"/>
      <w:marTop w:val="0"/>
      <w:marBottom w:val="0"/>
      <w:divBdr>
        <w:top w:val="none" w:sz="0" w:space="0" w:color="auto"/>
        <w:left w:val="none" w:sz="0" w:space="0" w:color="auto"/>
        <w:bottom w:val="none" w:sz="0" w:space="0" w:color="auto"/>
        <w:right w:val="none" w:sz="0" w:space="0" w:color="auto"/>
      </w:divBdr>
    </w:div>
    <w:div w:id="174619660">
      <w:bodyDiv w:val="1"/>
      <w:marLeft w:val="0"/>
      <w:marRight w:val="0"/>
      <w:marTop w:val="0"/>
      <w:marBottom w:val="0"/>
      <w:divBdr>
        <w:top w:val="none" w:sz="0" w:space="0" w:color="auto"/>
        <w:left w:val="none" w:sz="0" w:space="0" w:color="auto"/>
        <w:bottom w:val="none" w:sz="0" w:space="0" w:color="auto"/>
        <w:right w:val="none" w:sz="0" w:space="0" w:color="auto"/>
      </w:divBdr>
    </w:div>
    <w:div w:id="207228433">
      <w:bodyDiv w:val="1"/>
      <w:marLeft w:val="0"/>
      <w:marRight w:val="0"/>
      <w:marTop w:val="0"/>
      <w:marBottom w:val="0"/>
      <w:divBdr>
        <w:top w:val="none" w:sz="0" w:space="0" w:color="auto"/>
        <w:left w:val="none" w:sz="0" w:space="0" w:color="auto"/>
        <w:bottom w:val="none" w:sz="0" w:space="0" w:color="auto"/>
        <w:right w:val="none" w:sz="0" w:space="0" w:color="auto"/>
      </w:divBdr>
    </w:div>
    <w:div w:id="208764525">
      <w:bodyDiv w:val="1"/>
      <w:marLeft w:val="0"/>
      <w:marRight w:val="0"/>
      <w:marTop w:val="0"/>
      <w:marBottom w:val="0"/>
      <w:divBdr>
        <w:top w:val="none" w:sz="0" w:space="0" w:color="auto"/>
        <w:left w:val="none" w:sz="0" w:space="0" w:color="auto"/>
        <w:bottom w:val="none" w:sz="0" w:space="0" w:color="auto"/>
        <w:right w:val="none" w:sz="0" w:space="0" w:color="auto"/>
      </w:divBdr>
    </w:div>
    <w:div w:id="224532016">
      <w:bodyDiv w:val="1"/>
      <w:marLeft w:val="0"/>
      <w:marRight w:val="0"/>
      <w:marTop w:val="0"/>
      <w:marBottom w:val="0"/>
      <w:divBdr>
        <w:top w:val="none" w:sz="0" w:space="0" w:color="auto"/>
        <w:left w:val="none" w:sz="0" w:space="0" w:color="auto"/>
        <w:bottom w:val="none" w:sz="0" w:space="0" w:color="auto"/>
        <w:right w:val="none" w:sz="0" w:space="0" w:color="auto"/>
      </w:divBdr>
    </w:div>
    <w:div w:id="252907818">
      <w:bodyDiv w:val="1"/>
      <w:marLeft w:val="0"/>
      <w:marRight w:val="0"/>
      <w:marTop w:val="0"/>
      <w:marBottom w:val="0"/>
      <w:divBdr>
        <w:top w:val="none" w:sz="0" w:space="0" w:color="auto"/>
        <w:left w:val="none" w:sz="0" w:space="0" w:color="auto"/>
        <w:bottom w:val="none" w:sz="0" w:space="0" w:color="auto"/>
        <w:right w:val="none" w:sz="0" w:space="0" w:color="auto"/>
      </w:divBdr>
    </w:div>
    <w:div w:id="282269883">
      <w:bodyDiv w:val="1"/>
      <w:marLeft w:val="0"/>
      <w:marRight w:val="0"/>
      <w:marTop w:val="0"/>
      <w:marBottom w:val="0"/>
      <w:divBdr>
        <w:top w:val="none" w:sz="0" w:space="0" w:color="auto"/>
        <w:left w:val="none" w:sz="0" w:space="0" w:color="auto"/>
        <w:bottom w:val="none" w:sz="0" w:space="0" w:color="auto"/>
        <w:right w:val="none" w:sz="0" w:space="0" w:color="auto"/>
      </w:divBdr>
    </w:div>
    <w:div w:id="347559934">
      <w:bodyDiv w:val="1"/>
      <w:marLeft w:val="0"/>
      <w:marRight w:val="0"/>
      <w:marTop w:val="0"/>
      <w:marBottom w:val="0"/>
      <w:divBdr>
        <w:top w:val="none" w:sz="0" w:space="0" w:color="auto"/>
        <w:left w:val="none" w:sz="0" w:space="0" w:color="auto"/>
        <w:bottom w:val="none" w:sz="0" w:space="0" w:color="auto"/>
        <w:right w:val="none" w:sz="0" w:space="0" w:color="auto"/>
      </w:divBdr>
    </w:div>
    <w:div w:id="356320461">
      <w:bodyDiv w:val="1"/>
      <w:marLeft w:val="0"/>
      <w:marRight w:val="0"/>
      <w:marTop w:val="0"/>
      <w:marBottom w:val="0"/>
      <w:divBdr>
        <w:top w:val="none" w:sz="0" w:space="0" w:color="auto"/>
        <w:left w:val="none" w:sz="0" w:space="0" w:color="auto"/>
        <w:bottom w:val="none" w:sz="0" w:space="0" w:color="auto"/>
        <w:right w:val="none" w:sz="0" w:space="0" w:color="auto"/>
      </w:divBdr>
    </w:div>
    <w:div w:id="382565740">
      <w:bodyDiv w:val="1"/>
      <w:marLeft w:val="0"/>
      <w:marRight w:val="0"/>
      <w:marTop w:val="0"/>
      <w:marBottom w:val="0"/>
      <w:divBdr>
        <w:top w:val="none" w:sz="0" w:space="0" w:color="auto"/>
        <w:left w:val="none" w:sz="0" w:space="0" w:color="auto"/>
        <w:bottom w:val="none" w:sz="0" w:space="0" w:color="auto"/>
        <w:right w:val="none" w:sz="0" w:space="0" w:color="auto"/>
      </w:divBdr>
    </w:div>
    <w:div w:id="413863105">
      <w:bodyDiv w:val="1"/>
      <w:marLeft w:val="0"/>
      <w:marRight w:val="0"/>
      <w:marTop w:val="0"/>
      <w:marBottom w:val="0"/>
      <w:divBdr>
        <w:top w:val="none" w:sz="0" w:space="0" w:color="auto"/>
        <w:left w:val="none" w:sz="0" w:space="0" w:color="auto"/>
        <w:bottom w:val="none" w:sz="0" w:space="0" w:color="auto"/>
        <w:right w:val="none" w:sz="0" w:space="0" w:color="auto"/>
      </w:divBdr>
    </w:div>
    <w:div w:id="442965201">
      <w:bodyDiv w:val="1"/>
      <w:marLeft w:val="0"/>
      <w:marRight w:val="0"/>
      <w:marTop w:val="0"/>
      <w:marBottom w:val="0"/>
      <w:divBdr>
        <w:top w:val="none" w:sz="0" w:space="0" w:color="auto"/>
        <w:left w:val="none" w:sz="0" w:space="0" w:color="auto"/>
        <w:bottom w:val="none" w:sz="0" w:space="0" w:color="auto"/>
        <w:right w:val="none" w:sz="0" w:space="0" w:color="auto"/>
      </w:divBdr>
    </w:div>
    <w:div w:id="452987702">
      <w:bodyDiv w:val="1"/>
      <w:marLeft w:val="0"/>
      <w:marRight w:val="0"/>
      <w:marTop w:val="0"/>
      <w:marBottom w:val="0"/>
      <w:divBdr>
        <w:top w:val="none" w:sz="0" w:space="0" w:color="auto"/>
        <w:left w:val="none" w:sz="0" w:space="0" w:color="auto"/>
        <w:bottom w:val="none" w:sz="0" w:space="0" w:color="auto"/>
        <w:right w:val="none" w:sz="0" w:space="0" w:color="auto"/>
      </w:divBdr>
    </w:div>
    <w:div w:id="473183252">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557087750">
      <w:bodyDiv w:val="1"/>
      <w:marLeft w:val="0"/>
      <w:marRight w:val="0"/>
      <w:marTop w:val="0"/>
      <w:marBottom w:val="0"/>
      <w:divBdr>
        <w:top w:val="none" w:sz="0" w:space="0" w:color="auto"/>
        <w:left w:val="none" w:sz="0" w:space="0" w:color="auto"/>
        <w:bottom w:val="none" w:sz="0" w:space="0" w:color="auto"/>
        <w:right w:val="none" w:sz="0" w:space="0" w:color="auto"/>
      </w:divBdr>
    </w:div>
    <w:div w:id="558172270">
      <w:bodyDiv w:val="1"/>
      <w:marLeft w:val="0"/>
      <w:marRight w:val="0"/>
      <w:marTop w:val="0"/>
      <w:marBottom w:val="0"/>
      <w:divBdr>
        <w:top w:val="none" w:sz="0" w:space="0" w:color="auto"/>
        <w:left w:val="none" w:sz="0" w:space="0" w:color="auto"/>
        <w:bottom w:val="none" w:sz="0" w:space="0" w:color="auto"/>
        <w:right w:val="none" w:sz="0" w:space="0" w:color="auto"/>
      </w:divBdr>
    </w:div>
    <w:div w:id="562719645">
      <w:bodyDiv w:val="1"/>
      <w:marLeft w:val="0"/>
      <w:marRight w:val="0"/>
      <w:marTop w:val="0"/>
      <w:marBottom w:val="0"/>
      <w:divBdr>
        <w:top w:val="none" w:sz="0" w:space="0" w:color="auto"/>
        <w:left w:val="none" w:sz="0" w:space="0" w:color="auto"/>
        <w:bottom w:val="none" w:sz="0" w:space="0" w:color="auto"/>
        <w:right w:val="none" w:sz="0" w:space="0" w:color="auto"/>
      </w:divBdr>
    </w:div>
    <w:div w:id="701324658">
      <w:bodyDiv w:val="1"/>
      <w:marLeft w:val="0"/>
      <w:marRight w:val="0"/>
      <w:marTop w:val="0"/>
      <w:marBottom w:val="0"/>
      <w:divBdr>
        <w:top w:val="none" w:sz="0" w:space="0" w:color="auto"/>
        <w:left w:val="none" w:sz="0" w:space="0" w:color="auto"/>
        <w:bottom w:val="none" w:sz="0" w:space="0" w:color="auto"/>
        <w:right w:val="none" w:sz="0" w:space="0" w:color="auto"/>
      </w:divBdr>
    </w:div>
    <w:div w:id="703675916">
      <w:bodyDiv w:val="1"/>
      <w:marLeft w:val="0"/>
      <w:marRight w:val="0"/>
      <w:marTop w:val="0"/>
      <w:marBottom w:val="0"/>
      <w:divBdr>
        <w:top w:val="none" w:sz="0" w:space="0" w:color="auto"/>
        <w:left w:val="none" w:sz="0" w:space="0" w:color="auto"/>
        <w:bottom w:val="none" w:sz="0" w:space="0" w:color="auto"/>
        <w:right w:val="none" w:sz="0" w:space="0" w:color="auto"/>
      </w:divBdr>
    </w:div>
    <w:div w:id="712925392">
      <w:bodyDiv w:val="1"/>
      <w:marLeft w:val="0"/>
      <w:marRight w:val="0"/>
      <w:marTop w:val="0"/>
      <w:marBottom w:val="0"/>
      <w:divBdr>
        <w:top w:val="none" w:sz="0" w:space="0" w:color="auto"/>
        <w:left w:val="none" w:sz="0" w:space="0" w:color="auto"/>
        <w:bottom w:val="none" w:sz="0" w:space="0" w:color="auto"/>
        <w:right w:val="none" w:sz="0" w:space="0" w:color="auto"/>
      </w:divBdr>
    </w:div>
    <w:div w:id="763107405">
      <w:bodyDiv w:val="1"/>
      <w:marLeft w:val="0"/>
      <w:marRight w:val="0"/>
      <w:marTop w:val="0"/>
      <w:marBottom w:val="0"/>
      <w:divBdr>
        <w:top w:val="none" w:sz="0" w:space="0" w:color="auto"/>
        <w:left w:val="none" w:sz="0" w:space="0" w:color="auto"/>
        <w:bottom w:val="none" w:sz="0" w:space="0" w:color="auto"/>
        <w:right w:val="none" w:sz="0" w:space="0" w:color="auto"/>
      </w:divBdr>
    </w:div>
    <w:div w:id="813985591">
      <w:bodyDiv w:val="1"/>
      <w:marLeft w:val="0"/>
      <w:marRight w:val="0"/>
      <w:marTop w:val="0"/>
      <w:marBottom w:val="0"/>
      <w:divBdr>
        <w:top w:val="none" w:sz="0" w:space="0" w:color="auto"/>
        <w:left w:val="none" w:sz="0" w:space="0" w:color="auto"/>
        <w:bottom w:val="none" w:sz="0" w:space="0" w:color="auto"/>
        <w:right w:val="none" w:sz="0" w:space="0" w:color="auto"/>
      </w:divBdr>
    </w:div>
    <w:div w:id="835271459">
      <w:bodyDiv w:val="1"/>
      <w:marLeft w:val="0"/>
      <w:marRight w:val="0"/>
      <w:marTop w:val="0"/>
      <w:marBottom w:val="0"/>
      <w:divBdr>
        <w:top w:val="none" w:sz="0" w:space="0" w:color="auto"/>
        <w:left w:val="none" w:sz="0" w:space="0" w:color="auto"/>
        <w:bottom w:val="none" w:sz="0" w:space="0" w:color="auto"/>
        <w:right w:val="none" w:sz="0" w:space="0" w:color="auto"/>
      </w:divBdr>
    </w:div>
    <w:div w:id="926038159">
      <w:bodyDiv w:val="1"/>
      <w:marLeft w:val="0"/>
      <w:marRight w:val="0"/>
      <w:marTop w:val="0"/>
      <w:marBottom w:val="0"/>
      <w:divBdr>
        <w:top w:val="none" w:sz="0" w:space="0" w:color="auto"/>
        <w:left w:val="none" w:sz="0" w:space="0" w:color="auto"/>
        <w:bottom w:val="none" w:sz="0" w:space="0" w:color="auto"/>
        <w:right w:val="none" w:sz="0" w:space="0" w:color="auto"/>
      </w:divBdr>
    </w:div>
    <w:div w:id="1048142261">
      <w:bodyDiv w:val="1"/>
      <w:marLeft w:val="0"/>
      <w:marRight w:val="0"/>
      <w:marTop w:val="0"/>
      <w:marBottom w:val="0"/>
      <w:divBdr>
        <w:top w:val="none" w:sz="0" w:space="0" w:color="auto"/>
        <w:left w:val="none" w:sz="0" w:space="0" w:color="auto"/>
        <w:bottom w:val="none" w:sz="0" w:space="0" w:color="auto"/>
        <w:right w:val="none" w:sz="0" w:space="0" w:color="auto"/>
      </w:divBdr>
    </w:div>
    <w:div w:id="1055620651">
      <w:bodyDiv w:val="1"/>
      <w:marLeft w:val="0"/>
      <w:marRight w:val="0"/>
      <w:marTop w:val="0"/>
      <w:marBottom w:val="0"/>
      <w:divBdr>
        <w:top w:val="none" w:sz="0" w:space="0" w:color="auto"/>
        <w:left w:val="none" w:sz="0" w:space="0" w:color="auto"/>
        <w:bottom w:val="none" w:sz="0" w:space="0" w:color="auto"/>
        <w:right w:val="none" w:sz="0" w:space="0" w:color="auto"/>
      </w:divBdr>
    </w:div>
    <w:div w:id="1119954551">
      <w:bodyDiv w:val="1"/>
      <w:marLeft w:val="0"/>
      <w:marRight w:val="0"/>
      <w:marTop w:val="0"/>
      <w:marBottom w:val="0"/>
      <w:divBdr>
        <w:top w:val="none" w:sz="0" w:space="0" w:color="auto"/>
        <w:left w:val="none" w:sz="0" w:space="0" w:color="auto"/>
        <w:bottom w:val="none" w:sz="0" w:space="0" w:color="auto"/>
        <w:right w:val="none" w:sz="0" w:space="0" w:color="auto"/>
      </w:divBdr>
    </w:div>
    <w:div w:id="1120800127">
      <w:bodyDiv w:val="1"/>
      <w:marLeft w:val="0"/>
      <w:marRight w:val="0"/>
      <w:marTop w:val="0"/>
      <w:marBottom w:val="0"/>
      <w:divBdr>
        <w:top w:val="none" w:sz="0" w:space="0" w:color="auto"/>
        <w:left w:val="none" w:sz="0" w:space="0" w:color="auto"/>
        <w:bottom w:val="none" w:sz="0" w:space="0" w:color="auto"/>
        <w:right w:val="none" w:sz="0" w:space="0" w:color="auto"/>
      </w:divBdr>
    </w:div>
    <w:div w:id="1127309256">
      <w:bodyDiv w:val="1"/>
      <w:marLeft w:val="0"/>
      <w:marRight w:val="0"/>
      <w:marTop w:val="0"/>
      <w:marBottom w:val="0"/>
      <w:divBdr>
        <w:top w:val="none" w:sz="0" w:space="0" w:color="auto"/>
        <w:left w:val="none" w:sz="0" w:space="0" w:color="auto"/>
        <w:bottom w:val="none" w:sz="0" w:space="0" w:color="auto"/>
        <w:right w:val="none" w:sz="0" w:space="0" w:color="auto"/>
      </w:divBdr>
    </w:div>
    <w:div w:id="1128624739">
      <w:bodyDiv w:val="1"/>
      <w:marLeft w:val="0"/>
      <w:marRight w:val="0"/>
      <w:marTop w:val="0"/>
      <w:marBottom w:val="0"/>
      <w:divBdr>
        <w:top w:val="none" w:sz="0" w:space="0" w:color="auto"/>
        <w:left w:val="none" w:sz="0" w:space="0" w:color="auto"/>
        <w:bottom w:val="none" w:sz="0" w:space="0" w:color="auto"/>
        <w:right w:val="none" w:sz="0" w:space="0" w:color="auto"/>
      </w:divBdr>
    </w:div>
    <w:div w:id="1284112452">
      <w:bodyDiv w:val="1"/>
      <w:marLeft w:val="0"/>
      <w:marRight w:val="0"/>
      <w:marTop w:val="0"/>
      <w:marBottom w:val="0"/>
      <w:divBdr>
        <w:top w:val="none" w:sz="0" w:space="0" w:color="auto"/>
        <w:left w:val="none" w:sz="0" w:space="0" w:color="auto"/>
        <w:bottom w:val="none" w:sz="0" w:space="0" w:color="auto"/>
        <w:right w:val="none" w:sz="0" w:space="0" w:color="auto"/>
      </w:divBdr>
    </w:div>
    <w:div w:id="1331717287">
      <w:bodyDiv w:val="1"/>
      <w:marLeft w:val="0"/>
      <w:marRight w:val="0"/>
      <w:marTop w:val="0"/>
      <w:marBottom w:val="0"/>
      <w:divBdr>
        <w:top w:val="none" w:sz="0" w:space="0" w:color="auto"/>
        <w:left w:val="none" w:sz="0" w:space="0" w:color="auto"/>
        <w:bottom w:val="none" w:sz="0" w:space="0" w:color="auto"/>
        <w:right w:val="none" w:sz="0" w:space="0" w:color="auto"/>
      </w:divBdr>
    </w:div>
    <w:div w:id="1433084578">
      <w:bodyDiv w:val="1"/>
      <w:marLeft w:val="0"/>
      <w:marRight w:val="0"/>
      <w:marTop w:val="0"/>
      <w:marBottom w:val="0"/>
      <w:divBdr>
        <w:top w:val="none" w:sz="0" w:space="0" w:color="auto"/>
        <w:left w:val="none" w:sz="0" w:space="0" w:color="auto"/>
        <w:bottom w:val="none" w:sz="0" w:space="0" w:color="auto"/>
        <w:right w:val="none" w:sz="0" w:space="0" w:color="auto"/>
      </w:divBdr>
    </w:div>
    <w:div w:id="1435980574">
      <w:bodyDiv w:val="1"/>
      <w:marLeft w:val="0"/>
      <w:marRight w:val="0"/>
      <w:marTop w:val="0"/>
      <w:marBottom w:val="0"/>
      <w:divBdr>
        <w:top w:val="none" w:sz="0" w:space="0" w:color="auto"/>
        <w:left w:val="none" w:sz="0" w:space="0" w:color="auto"/>
        <w:bottom w:val="none" w:sz="0" w:space="0" w:color="auto"/>
        <w:right w:val="none" w:sz="0" w:space="0" w:color="auto"/>
      </w:divBdr>
    </w:div>
    <w:div w:id="1490056187">
      <w:bodyDiv w:val="1"/>
      <w:marLeft w:val="0"/>
      <w:marRight w:val="0"/>
      <w:marTop w:val="0"/>
      <w:marBottom w:val="0"/>
      <w:divBdr>
        <w:top w:val="none" w:sz="0" w:space="0" w:color="auto"/>
        <w:left w:val="none" w:sz="0" w:space="0" w:color="auto"/>
        <w:bottom w:val="none" w:sz="0" w:space="0" w:color="auto"/>
        <w:right w:val="none" w:sz="0" w:space="0" w:color="auto"/>
      </w:divBdr>
    </w:div>
    <w:div w:id="1532062513">
      <w:bodyDiv w:val="1"/>
      <w:marLeft w:val="0"/>
      <w:marRight w:val="0"/>
      <w:marTop w:val="0"/>
      <w:marBottom w:val="0"/>
      <w:divBdr>
        <w:top w:val="none" w:sz="0" w:space="0" w:color="auto"/>
        <w:left w:val="none" w:sz="0" w:space="0" w:color="auto"/>
        <w:bottom w:val="none" w:sz="0" w:space="0" w:color="auto"/>
        <w:right w:val="none" w:sz="0" w:space="0" w:color="auto"/>
      </w:divBdr>
    </w:div>
    <w:div w:id="1537692444">
      <w:bodyDiv w:val="1"/>
      <w:marLeft w:val="0"/>
      <w:marRight w:val="0"/>
      <w:marTop w:val="0"/>
      <w:marBottom w:val="0"/>
      <w:divBdr>
        <w:top w:val="none" w:sz="0" w:space="0" w:color="auto"/>
        <w:left w:val="none" w:sz="0" w:space="0" w:color="auto"/>
        <w:bottom w:val="none" w:sz="0" w:space="0" w:color="auto"/>
        <w:right w:val="none" w:sz="0" w:space="0" w:color="auto"/>
      </w:divBdr>
    </w:div>
    <w:div w:id="1550416603">
      <w:bodyDiv w:val="1"/>
      <w:marLeft w:val="0"/>
      <w:marRight w:val="0"/>
      <w:marTop w:val="0"/>
      <w:marBottom w:val="0"/>
      <w:divBdr>
        <w:top w:val="none" w:sz="0" w:space="0" w:color="auto"/>
        <w:left w:val="none" w:sz="0" w:space="0" w:color="auto"/>
        <w:bottom w:val="none" w:sz="0" w:space="0" w:color="auto"/>
        <w:right w:val="none" w:sz="0" w:space="0" w:color="auto"/>
      </w:divBdr>
    </w:div>
    <w:div w:id="1557475872">
      <w:bodyDiv w:val="1"/>
      <w:marLeft w:val="0"/>
      <w:marRight w:val="0"/>
      <w:marTop w:val="0"/>
      <w:marBottom w:val="0"/>
      <w:divBdr>
        <w:top w:val="none" w:sz="0" w:space="0" w:color="auto"/>
        <w:left w:val="none" w:sz="0" w:space="0" w:color="auto"/>
        <w:bottom w:val="none" w:sz="0" w:space="0" w:color="auto"/>
        <w:right w:val="none" w:sz="0" w:space="0" w:color="auto"/>
      </w:divBdr>
    </w:div>
    <w:div w:id="1596284117">
      <w:bodyDiv w:val="1"/>
      <w:marLeft w:val="0"/>
      <w:marRight w:val="0"/>
      <w:marTop w:val="0"/>
      <w:marBottom w:val="0"/>
      <w:divBdr>
        <w:top w:val="none" w:sz="0" w:space="0" w:color="auto"/>
        <w:left w:val="none" w:sz="0" w:space="0" w:color="auto"/>
        <w:bottom w:val="none" w:sz="0" w:space="0" w:color="auto"/>
        <w:right w:val="none" w:sz="0" w:space="0" w:color="auto"/>
      </w:divBdr>
    </w:div>
    <w:div w:id="1650670917">
      <w:bodyDiv w:val="1"/>
      <w:marLeft w:val="0"/>
      <w:marRight w:val="0"/>
      <w:marTop w:val="0"/>
      <w:marBottom w:val="0"/>
      <w:divBdr>
        <w:top w:val="none" w:sz="0" w:space="0" w:color="auto"/>
        <w:left w:val="none" w:sz="0" w:space="0" w:color="auto"/>
        <w:bottom w:val="none" w:sz="0" w:space="0" w:color="auto"/>
        <w:right w:val="none" w:sz="0" w:space="0" w:color="auto"/>
      </w:divBdr>
    </w:div>
    <w:div w:id="1733386654">
      <w:bodyDiv w:val="1"/>
      <w:marLeft w:val="0"/>
      <w:marRight w:val="0"/>
      <w:marTop w:val="0"/>
      <w:marBottom w:val="0"/>
      <w:divBdr>
        <w:top w:val="none" w:sz="0" w:space="0" w:color="auto"/>
        <w:left w:val="none" w:sz="0" w:space="0" w:color="auto"/>
        <w:bottom w:val="none" w:sz="0" w:space="0" w:color="auto"/>
        <w:right w:val="none" w:sz="0" w:space="0" w:color="auto"/>
      </w:divBdr>
      <w:divsChild>
        <w:div w:id="2033530423">
          <w:marLeft w:val="0"/>
          <w:marRight w:val="0"/>
          <w:marTop w:val="0"/>
          <w:marBottom w:val="0"/>
          <w:divBdr>
            <w:top w:val="none" w:sz="0" w:space="0" w:color="auto"/>
            <w:left w:val="none" w:sz="0" w:space="0" w:color="auto"/>
            <w:bottom w:val="none" w:sz="0" w:space="0" w:color="auto"/>
            <w:right w:val="none" w:sz="0" w:space="0" w:color="auto"/>
          </w:divBdr>
          <w:divsChild>
            <w:div w:id="11351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46328">
      <w:bodyDiv w:val="1"/>
      <w:marLeft w:val="0"/>
      <w:marRight w:val="0"/>
      <w:marTop w:val="0"/>
      <w:marBottom w:val="0"/>
      <w:divBdr>
        <w:top w:val="none" w:sz="0" w:space="0" w:color="auto"/>
        <w:left w:val="none" w:sz="0" w:space="0" w:color="auto"/>
        <w:bottom w:val="none" w:sz="0" w:space="0" w:color="auto"/>
        <w:right w:val="none" w:sz="0" w:space="0" w:color="auto"/>
      </w:divBdr>
    </w:div>
    <w:div w:id="1740329312">
      <w:bodyDiv w:val="1"/>
      <w:marLeft w:val="0"/>
      <w:marRight w:val="0"/>
      <w:marTop w:val="0"/>
      <w:marBottom w:val="0"/>
      <w:divBdr>
        <w:top w:val="none" w:sz="0" w:space="0" w:color="auto"/>
        <w:left w:val="none" w:sz="0" w:space="0" w:color="auto"/>
        <w:bottom w:val="none" w:sz="0" w:space="0" w:color="auto"/>
        <w:right w:val="none" w:sz="0" w:space="0" w:color="auto"/>
      </w:divBdr>
    </w:div>
    <w:div w:id="1792623763">
      <w:bodyDiv w:val="1"/>
      <w:marLeft w:val="0"/>
      <w:marRight w:val="0"/>
      <w:marTop w:val="0"/>
      <w:marBottom w:val="0"/>
      <w:divBdr>
        <w:top w:val="none" w:sz="0" w:space="0" w:color="auto"/>
        <w:left w:val="none" w:sz="0" w:space="0" w:color="auto"/>
        <w:bottom w:val="none" w:sz="0" w:space="0" w:color="auto"/>
        <w:right w:val="none" w:sz="0" w:space="0" w:color="auto"/>
      </w:divBdr>
    </w:div>
    <w:div w:id="1825123699">
      <w:bodyDiv w:val="1"/>
      <w:marLeft w:val="0"/>
      <w:marRight w:val="0"/>
      <w:marTop w:val="0"/>
      <w:marBottom w:val="0"/>
      <w:divBdr>
        <w:top w:val="none" w:sz="0" w:space="0" w:color="auto"/>
        <w:left w:val="none" w:sz="0" w:space="0" w:color="auto"/>
        <w:bottom w:val="none" w:sz="0" w:space="0" w:color="auto"/>
        <w:right w:val="none" w:sz="0" w:space="0" w:color="auto"/>
      </w:divBdr>
    </w:div>
    <w:div w:id="1892886826">
      <w:bodyDiv w:val="1"/>
      <w:marLeft w:val="0"/>
      <w:marRight w:val="0"/>
      <w:marTop w:val="0"/>
      <w:marBottom w:val="0"/>
      <w:divBdr>
        <w:top w:val="none" w:sz="0" w:space="0" w:color="auto"/>
        <w:left w:val="none" w:sz="0" w:space="0" w:color="auto"/>
        <w:bottom w:val="none" w:sz="0" w:space="0" w:color="auto"/>
        <w:right w:val="none" w:sz="0" w:space="0" w:color="auto"/>
      </w:divBdr>
    </w:div>
    <w:div w:id="1967736484">
      <w:bodyDiv w:val="1"/>
      <w:marLeft w:val="0"/>
      <w:marRight w:val="0"/>
      <w:marTop w:val="0"/>
      <w:marBottom w:val="0"/>
      <w:divBdr>
        <w:top w:val="none" w:sz="0" w:space="0" w:color="auto"/>
        <w:left w:val="none" w:sz="0" w:space="0" w:color="auto"/>
        <w:bottom w:val="none" w:sz="0" w:space="0" w:color="auto"/>
        <w:right w:val="none" w:sz="0" w:space="0" w:color="auto"/>
      </w:divBdr>
    </w:div>
    <w:div w:id="1972175198">
      <w:bodyDiv w:val="1"/>
      <w:marLeft w:val="0"/>
      <w:marRight w:val="0"/>
      <w:marTop w:val="0"/>
      <w:marBottom w:val="0"/>
      <w:divBdr>
        <w:top w:val="none" w:sz="0" w:space="0" w:color="auto"/>
        <w:left w:val="none" w:sz="0" w:space="0" w:color="auto"/>
        <w:bottom w:val="none" w:sz="0" w:space="0" w:color="auto"/>
        <w:right w:val="none" w:sz="0" w:space="0" w:color="auto"/>
      </w:divBdr>
    </w:div>
    <w:div w:id="1998872536">
      <w:bodyDiv w:val="1"/>
      <w:marLeft w:val="0"/>
      <w:marRight w:val="0"/>
      <w:marTop w:val="0"/>
      <w:marBottom w:val="0"/>
      <w:divBdr>
        <w:top w:val="none" w:sz="0" w:space="0" w:color="auto"/>
        <w:left w:val="none" w:sz="0" w:space="0" w:color="auto"/>
        <w:bottom w:val="none" w:sz="0" w:space="0" w:color="auto"/>
        <w:right w:val="none" w:sz="0" w:space="0" w:color="auto"/>
      </w:divBdr>
    </w:div>
    <w:div w:id="2031447602">
      <w:bodyDiv w:val="1"/>
      <w:marLeft w:val="0"/>
      <w:marRight w:val="0"/>
      <w:marTop w:val="0"/>
      <w:marBottom w:val="0"/>
      <w:divBdr>
        <w:top w:val="none" w:sz="0" w:space="0" w:color="auto"/>
        <w:left w:val="none" w:sz="0" w:space="0" w:color="auto"/>
        <w:bottom w:val="none" w:sz="0" w:space="0" w:color="auto"/>
        <w:right w:val="none" w:sz="0" w:space="0" w:color="auto"/>
      </w:divBdr>
    </w:div>
    <w:div w:id="2033913715">
      <w:bodyDiv w:val="1"/>
      <w:marLeft w:val="0"/>
      <w:marRight w:val="0"/>
      <w:marTop w:val="0"/>
      <w:marBottom w:val="0"/>
      <w:divBdr>
        <w:top w:val="none" w:sz="0" w:space="0" w:color="auto"/>
        <w:left w:val="none" w:sz="0" w:space="0" w:color="auto"/>
        <w:bottom w:val="none" w:sz="0" w:space="0" w:color="auto"/>
        <w:right w:val="none" w:sz="0" w:space="0" w:color="auto"/>
      </w:divBdr>
    </w:div>
    <w:div w:id="2042969584">
      <w:bodyDiv w:val="1"/>
      <w:marLeft w:val="0"/>
      <w:marRight w:val="0"/>
      <w:marTop w:val="0"/>
      <w:marBottom w:val="0"/>
      <w:divBdr>
        <w:top w:val="none" w:sz="0" w:space="0" w:color="auto"/>
        <w:left w:val="none" w:sz="0" w:space="0" w:color="auto"/>
        <w:bottom w:val="none" w:sz="0" w:space="0" w:color="auto"/>
        <w:right w:val="none" w:sz="0" w:space="0" w:color="auto"/>
      </w:divBdr>
    </w:div>
    <w:div w:id="208556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rt.org/en/professional/quality-improvement/get-with-the-guidelines/get-with-the-guidelines-stroke/get-with-the-guidelines-stroke-overview" TargetMode="External"/><Relationship Id="rId18" Type="http://schemas.openxmlformats.org/officeDocument/2006/relationships/chart" Target="charts/chart5.xml"/><Relationship Id="rId26" Type="http://schemas.openxmlformats.org/officeDocument/2006/relationships/chart" Target="charts/chart12.xml"/><Relationship Id="rId39" Type="http://schemas.openxmlformats.org/officeDocument/2006/relationships/hyperlink" Target="https://www.strokeassociation.org/-/media/stroke-files/lets-talk-about-risk-factors-for-stroke%20ucm_309713.pdf?la=en&amp;hash=19A31EF2419E43756C4B0208BBAC49CAD5BAD03E" TargetMode="External"/><Relationship Id="rId3" Type="http://schemas.openxmlformats.org/officeDocument/2006/relationships/customXml" Target="../customXml/item3.xml"/><Relationship Id="rId21" Type="http://schemas.openxmlformats.org/officeDocument/2006/relationships/chart" Target="charts/chart7.xml"/><Relationship Id="rId34" Type="http://schemas.microsoft.com/office/2018/08/relationships/commentsExtensible" Target="commentsExtensible.xml"/><Relationship Id="rId42" Type="http://schemas.openxmlformats.org/officeDocument/2006/relationships/hyperlink" Target="https://www.ahajournals.org/doi/full/10.1161/circoutcomes.113.000089"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4.xml"/><Relationship Id="rId25" Type="http://schemas.openxmlformats.org/officeDocument/2006/relationships/chart" Target="charts/chart11.xml"/><Relationship Id="rId33" Type="http://schemas.microsoft.com/office/2016/09/relationships/commentsIds" Target="commentsIds.xml"/><Relationship Id="rId38" Type="http://schemas.openxmlformats.org/officeDocument/2006/relationships/hyperlink" Target="http://dhhs.nv.gov/uploadedFiles/dhhsnvgov/content/Programs/Office_of_Analytics/Images/Minority%20Health%20Report%202019%20v1.0.pdf" TargetMode="Externa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footer" Target="footer2.xml"/><Relationship Id="rId29" Type="http://schemas.openxmlformats.org/officeDocument/2006/relationships/chart" Target="charts/chart15.xml"/><Relationship Id="rId41" Type="http://schemas.openxmlformats.org/officeDocument/2006/relationships/hyperlink" Target="https://emedicine.medscape.com/article/1916852-clinic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0.xml"/><Relationship Id="rId32" Type="http://schemas.microsoft.com/office/2011/relationships/commentsExtended" Target="commentsExtended.xml"/><Relationship Id="rId37" Type="http://schemas.openxmlformats.org/officeDocument/2006/relationships/hyperlink" Target="https://www.cdc.gov/nchs/fastats/deaths.htm" TargetMode="External"/><Relationship Id="rId40" Type="http://schemas.openxmlformats.org/officeDocument/2006/relationships/hyperlink" Target="https://osstatic.irp.iqvia.com/online_doc_qi/StrokePMT/measure/Quality%20Measure%20Descriptions.htm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chart" Target="charts/chart18.xml"/><Relationship Id="rId10" Type="http://schemas.openxmlformats.org/officeDocument/2006/relationships/endnotes" Target="endnotes.xml"/><Relationship Id="rId19" Type="http://schemas.openxmlformats.org/officeDocument/2006/relationships/chart" Target="charts/chart6.xml"/><Relationship Id="rId31" Type="http://schemas.openxmlformats.org/officeDocument/2006/relationships/comments" Target="comments.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17.xm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ducker\Desktop\Health%20System%20Unit\Reports_PaperWriting\Stroke_Registry_Reports\2019\Data\Graph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kducker\AppData\Local\Microsoft\Windows\INetCache\Content.Outlook\JXDX5LXL\Fig10.xls" TargetMode="External"/></Relationships>
</file>

<file path=word/charts/_rels/chart11.xml.rels><?xml version="1.0" encoding="UTF-8" standalone="yes"?>
<Relationships xmlns="http://schemas.openxmlformats.org/package/2006/relationships"><Relationship Id="rId3" Type="http://schemas.openxmlformats.org/officeDocument/2006/relationships/oleObject" Target="file:///C:\Users\kducker\Desktop\Health%20System%20Unit\RptsPaperWriting\Stroke_Registry_Reports\2019\Data\GWTG\Fig11\Fig11%20Graphs.xlsx" TargetMode="External"/><Relationship Id="rId2" Type="http://schemas.microsoft.com/office/2011/relationships/chartColorStyle" Target="colors9.xml"/><Relationship Id="rId1" Type="http://schemas.microsoft.com/office/2011/relationships/chartStyle" Target="style9.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kducker\Desktop\Health%20System%20Unit\Reports_PaperWriting\Stroke_Registry_Reports\2019\Data\GWTG\Fig12.1.xlsx" TargetMode="External"/><Relationship Id="rId2" Type="http://schemas.microsoft.com/office/2011/relationships/chartColorStyle" Target="colors10.xml"/><Relationship Id="rId1" Type="http://schemas.microsoft.com/office/2011/relationships/chartStyle" Target="style10.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kducker\Desktop\Health%20System%20Unit\Reports_PaperWriting\Stroke_Registry_Reports\2019\Data\GWTG\Fig13.1.xlsx" TargetMode="External"/><Relationship Id="rId2" Type="http://schemas.microsoft.com/office/2011/relationships/chartColorStyle" Target="colors11.xml"/><Relationship Id="rId1" Type="http://schemas.microsoft.com/office/2011/relationships/chartStyle" Target="style11.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kducker\Desktop\Health%20System%20Unit\Reports_PaperWriting\Stroke_Registry_Reports\2019\Data\GWTG\Fig14.xls" TargetMode="External"/><Relationship Id="rId2" Type="http://schemas.microsoft.com/office/2011/relationships/chartColorStyle" Target="colors12.xml"/><Relationship Id="rId1" Type="http://schemas.microsoft.com/office/2011/relationships/chartStyle" Target="style12.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kducker\Desktop\Health%20System%20Unit\Reports_PaperWriting\Stroke_Registry_Reports\2019\Data\GWTG\Fig15.xls" TargetMode="External"/><Relationship Id="rId2" Type="http://schemas.microsoft.com/office/2011/relationships/chartColorStyle" Target="colors13.xml"/><Relationship Id="rId1" Type="http://schemas.microsoft.com/office/2011/relationships/chartStyle" Target="style13.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kducker\Desktop\Health%20System%20Unit\Reports_PaperWriting\Stroke_Registry_Reports\2019\Data\GWTG\Fig16.xls" TargetMode="External"/><Relationship Id="rId2" Type="http://schemas.microsoft.com/office/2011/relationships/chartColorStyle" Target="colors14.xml"/><Relationship Id="rId1" Type="http://schemas.microsoft.com/office/2011/relationships/chartStyle" Target="style14.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kducker\Desktop\Health%20System%20Unit\Reports_PaperWriting\Stroke_Registry_Reports\2019\Data\GWTG\Fig17.xls" TargetMode="External"/><Relationship Id="rId2" Type="http://schemas.microsoft.com/office/2011/relationships/chartColorStyle" Target="colors15.xml"/><Relationship Id="rId1" Type="http://schemas.microsoft.com/office/2011/relationships/chartStyle" Target="style15.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kducker\Desktop\Health%20System%20Unit\Reports_PaperWriting\Stroke_Registry_Reports\2019\Data\GWTG\Fig18.xls"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ducker\Desktop\Health%20System%20Unit\Reports_PaperWriting\Stroke_Registry_Reports\2019\Data\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ducker\Desktop\Health%20System%20Unit\Reports_PaperWriting\Stroke_Registry_Reports\2019\Data\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ducker\Desktop\Health%20System%20Unit\Reports_PaperWriting\Stroke_Registry_Reports\2019\Data\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kducker\Desktop\Health%20System%20Unit\Reports_PaperWriting\Stroke_Registry_Reports\2019\Data\Death%20w%20Graph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kducker\Desktop\Health%20System%20Unit\Reports_PaperWriting\Stroke_Registry_Reports\2019\Data\Death%20w%20Graph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kducker\Desktop\Health%20System%20Unit\RptsPaperWriting\Stroke_Registry_Reports\2019\Data\GWTG\Fig7.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nv-my.sharepoint.com/personal/kducker_health_nv_gov/Documents/Health%20Systems%20Unit/Stroke%20Report/Fig8.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1" Type="http://schemas.openxmlformats.org/officeDocument/2006/relationships/oleObject" Target="file:///C:\Users\kducker\Desktop\Health%20System%20Unit\RptsPaperWriting\Stroke_Registry_Reports\2019\Data\GWTG\Copy%20of%20Fig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05162922736168"/>
          <c:y val="6.1052447220742462E-2"/>
          <c:w val="0.88402423837720578"/>
          <c:h val="0.70631091054192663"/>
        </c:manualLayout>
      </c:layout>
      <c:barChart>
        <c:barDir val="col"/>
        <c:grouping val="clustered"/>
        <c:varyColors val="0"/>
        <c:ser>
          <c:idx val="0"/>
          <c:order val="0"/>
          <c:tx>
            <c:strRef>
              <c:f>'[Stroke Request 2018 w Graphs.xlsx]Sheet1'!$B$3</c:f>
              <c:strCache>
                <c:ptCount val="1"/>
                <c:pt idx="0">
                  <c:v>Nevada</c:v>
                </c:pt>
              </c:strCache>
            </c:strRef>
          </c:tx>
          <c:spPr>
            <a:solidFill>
              <a:schemeClr val="accent1">
                <a:lumMod val="50000"/>
              </a:schemeClr>
            </a:solidFill>
            <a:ln>
              <a:noFill/>
            </a:ln>
            <a:effectLst/>
          </c:spPr>
          <c:invertIfNegative val="0"/>
          <c:dLbls>
            <c:dLbl>
              <c:idx val="0"/>
              <c:layout>
                <c:manualLayout>
                  <c:x val="-6.4246707356247993E-3"/>
                  <c:y val="-4.228349024027686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D3E-4810-90FB-B04D4D996EE2}"/>
                </c:ext>
              </c:extLst>
            </c:dLbl>
            <c:dLbl>
              <c:idx val="1"/>
              <c:layout>
                <c:manualLayout>
                  <c:x val="-6.4246707356247993E-3"/>
                  <c:y val="-1.409466790241047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D3E-4810-90FB-B04D4D996EE2}"/>
                </c:ext>
              </c:extLst>
            </c:dLbl>
            <c:dLbl>
              <c:idx val="2"/>
              <c:layout>
                <c:manualLayout>
                  <c:x val="-1.0707784559374666E-2"/>
                  <c:y val="-3.084960809634693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D3E-4810-90FB-B04D4D996EE2}"/>
                </c:ext>
              </c:extLst>
            </c:dLbl>
            <c:dLbl>
              <c:idx val="3"/>
              <c:layout>
                <c:manualLayout>
                  <c:x val="0"/>
                  <c:y val="-1.409443269908394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D3E-4810-90FB-B04D4D996E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'F1'!$F$4:$F$9</c:f>
                <c:numCache>
                  <c:formatCode>General</c:formatCode>
                  <c:ptCount val="6"/>
                  <c:pt idx="0">
                    <c:v>2.1000000000000019E-2</c:v>
                  </c:pt>
                  <c:pt idx="1">
                    <c:v>1.2999999999999998E-2</c:v>
                  </c:pt>
                  <c:pt idx="2">
                    <c:v>1.4999999999999999E-2</c:v>
                  </c:pt>
                  <c:pt idx="3">
                    <c:v>1.2000000000000011E-2</c:v>
                  </c:pt>
                  <c:pt idx="4">
                    <c:v>9.0000000000000011E-3</c:v>
                  </c:pt>
                  <c:pt idx="5">
                    <c:v>8.0000000000000002E-3</c:v>
                  </c:pt>
                </c:numCache>
              </c:numRef>
            </c:plus>
            <c:minus>
              <c:numRef>
                <c:f>'F1'!$F$4:$F$9</c:f>
                <c:numCache>
                  <c:formatCode>General</c:formatCode>
                  <c:ptCount val="6"/>
                  <c:pt idx="0">
                    <c:v>2.1000000000000019E-2</c:v>
                  </c:pt>
                  <c:pt idx="1">
                    <c:v>1.2999999999999998E-2</c:v>
                  </c:pt>
                  <c:pt idx="2">
                    <c:v>1.4999999999999999E-2</c:v>
                  </c:pt>
                  <c:pt idx="3">
                    <c:v>1.2000000000000011E-2</c:v>
                  </c:pt>
                  <c:pt idx="4">
                    <c:v>9.0000000000000011E-3</c:v>
                  </c:pt>
                  <c:pt idx="5">
                    <c:v>8.0000000000000002E-3</c:v>
                  </c:pt>
                </c:numCache>
              </c:numRef>
            </c:minus>
            <c:spPr>
              <a:noFill/>
              <a:ln w="9525" cap="flat" cmpd="sng" algn="ctr">
                <a:solidFill>
                  <a:schemeClr val="tx1">
                    <a:lumMod val="65000"/>
                    <a:lumOff val="35000"/>
                  </a:schemeClr>
                </a:solidFill>
                <a:round/>
              </a:ln>
              <a:effectLst/>
            </c:spPr>
          </c:errBars>
          <c:cat>
            <c:strRef>
              <c:f>[1]Sheet1!$A$4:$A$9</c:f>
              <c:strCache>
                <c:ptCount val="6"/>
                <c:pt idx="0">
                  <c:v>Arthritis</c:v>
                </c:pt>
                <c:pt idx="1">
                  <c:v>Cancer</c:v>
                </c:pt>
                <c:pt idx="2">
                  <c:v>Diabetes </c:v>
                </c:pt>
                <c:pt idx="3">
                  <c:v>COPD</c:v>
                </c:pt>
                <c:pt idx="4">
                  <c:v>Heart Disease </c:v>
                </c:pt>
                <c:pt idx="5">
                  <c:v>Stroke</c:v>
                </c:pt>
              </c:strCache>
            </c:strRef>
          </c:cat>
          <c:val>
            <c:numRef>
              <c:f>[1]Sheet1!$B$4:$B$9</c:f>
              <c:numCache>
                <c:formatCode>0.0%</c:formatCode>
                <c:ptCount val="6"/>
                <c:pt idx="0">
                  <c:v>0.248</c:v>
                </c:pt>
                <c:pt idx="1">
                  <c:v>0.107</c:v>
                </c:pt>
                <c:pt idx="2">
                  <c:v>0.113</c:v>
                </c:pt>
                <c:pt idx="3">
                  <c:v>7.2999999999999995E-2</c:v>
                </c:pt>
                <c:pt idx="4">
                  <c:v>4.2999999999999997E-2</c:v>
                </c:pt>
                <c:pt idx="5">
                  <c:v>3.3000000000000002E-2</c:v>
                </c:pt>
              </c:numCache>
            </c:numRef>
          </c:val>
          <c:extLst>
            <c:ext xmlns:c16="http://schemas.microsoft.com/office/drawing/2014/chart" uri="{C3380CC4-5D6E-409C-BE32-E72D297353CC}">
              <c16:uniqueId val="{00000006-2D3E-4810-90FB-B04D4D996EE2}"/>
            </c:ext>
          </c:extLst>
        </c:ser>
        <c:ser>
          <c:idx val="1"/>
          <c:order val="1"/>
          <c:tx>
            <c:strRef>
              <c:f>'[Stroke Request 2018 w Graphs.xlsx]Sheet1'!$H$3</c:f>
              <c:strCache>
                <c:ptCount val="1"/>
                <c:pt idx="0">
                  <c:v>U.S.</c:v>
                </c:pt>
              </c:strCache>
            </c:strRef>
          </c:tx>
          <c:spPr>
            <a:solidFill>
              <a:srgbClr val="70AD47"/>
            </a:solidFill>
            <a:ln>
              <a:noFill/>
            </a:ln>
            <a:effectLst/>
          </c:spPr>
          <c:invertIfNegative val="0"/>
          <c:dLbls>
            <c:dLbl>
              <c:idx val="0"/>
              <c:layout>
                <c:manualLayout>
                  <c:x val="6.4246707356248193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56D-46FA-B0FC-806B8CA93BC2}"/>
                </c:ext>
              </c:extLst>
            </c:dLbl>
            <c:dLbl>
              <c:idx val="2"/>
              <c:layout>
                <c:manualLayout>
                  <c:x val="1.8705574261129816E-3"/>
                  <c:y val="-2.792516056967327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18D-44C7-BF34-320C64CC455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[1]Sheet1!$A$4:$A$9</c:f>
              <c:strCache>
                <c:ptCount val="6"/>
                <c:pt idx="0">
                  <c:v>Arthritis</c:v>
                </c:pt>
                <c:pt idx="1">
                  <c:v>Cancer</c:v>
                </c:pt>
                <c:pt idx="2">
                  <c:v>Diabetes </c:v>
                </c:pt>
                <c:pt idx="3">
                  <c:v>COPD</c:v>
                </c:pt>
                <c:pt idx="4">
                  <c:v>Heart Disease </c:v>
                </c:pt>
                <c:pt idx="5">
                  <c:v>Stroke</c:v>
                </c:pt>
              </c:strCache>
            </c:strRef>
          </c:cat>
          <c:val>
            <c:numRef>
              <c:f>[1]Sheet1!$H$4:$H$9</c:f>
              <c:numCache>
                <c:formatCode>0.0%</c:formatCode>
                <c:ptCount val="6"/>
                <c:pt idx="0">
                  <c:v>0.26300000000000001</c:v>
                </c:pt>
                <c:pt idx="1">
                  <c:v>0.121</c:v>
                </c:pt>
                <c:pt idx="2">
                  <c:v>0.121</c:v>
                </c:pt>
                <c:pt idx="3">
                  <c:v>6.6000000000000003E-2</c:v>
                </c:pt>
                <c:pt idx="4">
                  <c:v>4.2999999999999997E-2</c:v>
                </c:pt>
                <c:pt idx="5">
                  <c:v>3.4000000000000002E-2</c:v>
                </c:pt>
              </c:numCache>
            </c:numRef>
          </c:val>
          <c:extLst>
            <c:ext xmlns:c16="http://schemas.microsoft.com/office/drawing/2014/chart" uri="{C3380CC4-5D6E-409C-BE32-E72D297353CC}">
              <c16:uniqueId val="{0000000D-2D3E-4810-90FB-B04D4D996EE2}"/>
            </c:ext>
          </c:extLst>
        </c:ser>
        <c:dLbls>
          <c:dLblPos val="outEnd"/>
          <c:showLegendKey val="0"/>
          <c:showVal val="1"/>
          <c:showCatName val="0"/>
          <c:showSerName val="0"/>
          <c:showPercent val="0"/>
          <c:showBubbleSize val="0"/>
        </c:dLbls>
        <c:gapWidth val="219"/>
        <c:overlap val="-27"/>
        <c:axId val="407333672"/>
        <c:axId val="407334328"/>
      </c:barChart>
      <c:catAx>
        <c:axId val="407333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07334328"/>
        <c:crosses val="autoZero"/>
        <c:auto val="1"/>
        <c:lblAlgn val="ctr"/>
        <c:lblOffset val="100"/>
        <c:noMultiLvlLbl val="0"/>
      </c:catAx>
      <c:valAx>
        <c:axId val="407334328"/>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US" sz="700" b="0" i="0" baseline="0">
                    <a:solidFill>
                      <a:sysClr val="windowText" lastClr="000000"/>
                    </a:solidFill>
                    <a:effectLst/>
                  </a:rPr>
                  <a:t>Percent (%) of Patients</a:t>
                </a:r>
                <a:endParaRPr lang="en-US" sz="700">
                  <a:solidFill>
                    <a:sysClr val="windowText" lastClr="000000"/>
                  </a:solidFill>
                  <a:effectLst/>
                </a:endParaRPr>
              </a:p>
            </c:rich>
          </c:tx>
          <c:layout>
            <c:manualLayout>
              <c:xMode val="edge"/>
              <c:yMode val="edge"/>
              <c:x val="2.1415569118749332E-2"/>
              <c:y val="0.14205826615680964"/>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0" spcFirstLastPara="1" vertOverflow="ellipsis" wrap="square" anchor="ctr" anchorCtr="1"/>
          <a:lstStyle/>
          <a:p>
            <a:pPr>
              <a:defRPr sz="800" b="0" i="0" u="none" strike="noStrike" kern="1200" baseline="0">
                <a:solidFill>
                  <a:sysClr val="windowText" lastClr="000000"/>
                </a:solidFill>
                <a:latin typeface="+mn-lt"/>
                <a:ea typeface="+mn-ea"/>
                <a:cs typeface="+mn-cs"/>
              </a:defRPr>
            </a:pPr>
            <a:endParaRPr lang="en-US"/>
          </a:p>
        </c:txPr>
        <c:crossAx val="407333672"/>
        <c:crosses val="autoZero"/>
        <c:crossBetween val="between"/>
      </c:valAx>
      <c:spPr>
        <a:noFill/>
        <a:ln>
          <a:noFill/>
        </a:ln>
        <a:effectLst/>
      </c:spPr>
    </c:plotArea>
    <c:legend>
      <c:legendPos val="b"/>
      <c:layout>
        <c:manualLayout>
          <c:xMode val="edge"/>
          <c:yMode val="edge"/>
          <c:x val="0.40928221588748565"/>
          <c:y val="0.90722884451963881"/>
          <c:w val="0.20531819884274186"/>
          <c:h val="7.590260929713484E-2"/>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35695538057741"/>
          <c:y val="5.1162790697674418E-2"/>
          <c:w val="0.80528263048751558"/>
          <c:h val="0.75721171217234196"/>
        </c:manualLayout>
      </c:layout>
      <c:barChart>
        <c:barDir val="col"/>
        <c:grouping val="clustered"/>
        <c:varyColors val="0"/>
        <c:ser>
          <c:idx val="0"/>
          <c:order val="0"/>
          <c:tx>
            <c:strRef>
              <c:f>report_data!$B$24</c:f>
              <c:strCache>
                <c:ptCount val="1"/>
                <c:pt idx="0">
                  <c:v>2019</c:v>
                </c:pt>
              </c:strCache>
            </c:strRef>
          </c:tx>
          <c:spPr>
            <a:solidFill>
              <a:schemeClr val="accent1"/>
            </a:solidFill>
            <a:ln>
              <a:noFill/>
            </a:ln>
            <a:effectLst/>
          </c:spPr>
          <c:invertIfNegative val="0"/>
          <c:dPt>
            <c:idx val="0"/>
            <c:invertIfNegative val="0"/>
            <c:bubble3D val="0"/>
            <c:spPr>
              <a:solidFill>
                <a:srgbClr val="997300"/>
              </a:solidFill>
              <a:ln>
                <a:noFill/>
              </a:ln>
              <a:effectLst/>
            </c:spPr>
            <c:extLst>
              <c:ext xmlns:c16="http://schemas.microsoft.com/office/drawing/2014/chart" uri="{C3380CC4-5D6E-409C-BE32-E72D297353CC}">
                <c16:uniqueId val="{00000000-D2D7-4AAE-8919-D13BE20CE446}"/>
              </c:ext>
            </c:extLst>
          </c:dPt>
          <c:dPt>
            <c:idx val="1"/>
            <c:invertIfNegative val="0"/>
            <c:bubble3D val="0"/>
            <c:spPr>
              <a:solidFill>
                <a:srgbClr val="636363"/>
              </a:solidFill>
              <a:ln>
                <a:noFill/>
              </a:ln>
              <a:effectLst/>
            </c:spPr>
            <c:extLst>
              <c:ext xmlns:c16="http://schemas.microsoft.com/office/drawing/2014/chart" uri="{C3380CC4-5D6E-409C-BE32-E72D297353CC}">
                <c16:uniqueId val="{00000001-D2D7-4AAE-8919-D13BE20CE446}"/>
              </c:ext>
            </c:extLst>
          </c:dPt>
          <c:dPt>
            <c:idx val="2"/>
            <c:invertIfNegative val="0"/>
            <c:bubble3D val="0"/>
            <c:spPr>
              <a:solidFill>
                <a:srgbClr val="70AD47"/>
              </a:solidFill>
              <a:ln>
                <a:noFill/>
              </a:ln>
              <a:effectLst/>
            </c:spPr>
            <c:extLst>
              <c:ext xmlns:c16="http://schemas.microsoft.com/office/drawing/2014/chart" uri="{C3380CC4-5D6E-409C-BE32-E72D297353CC}">
                <c16:uniqueId val="{00000002-D2D7-4AAE-8919-D13BE20CE446}"/>
              </c:ext>
            </c:extLst>
          </c:dPt>
          <c:dPt>
            <c:idx val="3"/>
            <c:invertIfNegative val="0"/>
            <c:bubble3D val="0"/>
            <c:spPr>
              <a:solidFill>
                <a:srgbClr val="255E91"/>
              </a:solidFill>
              <a:ln>
                <a:noFill/>
              </a:ln>
              <a:effectLst/>
            </c:spPr>
            <c:extLst>
              <c:ext xmlns:c16="http://schemas.microsoft.com/office/drawing/2014/chart" uri="{C3380CC4-5D6E-409C-BE32-E72D297353CC}">
                <c16:uniqueId val="{00000003-D2D7-4AAE-8919-D13BE20CE446}"/>
              </c:ext>
            </c:extLst>
          </c:dPt>
          <c:dPt>
            <c:idx val="4"/>
            <c:invertIfNegative val="0"/>
            <c:bubble3D val="0"/>
            <c:spPr>
              <a:solidFill>
                <a:srgbClr val="FFC000"/>
              </a:solidFill>
              <a:ln>
                <a:noFill/>
              </a:ln>
              <a:effectLst/>
            </c:spPr>
            <c:extLst>
              <c:ext xmlns:c16="http://schemas.microsoft.com/office/drawing/2014/chart" uri="{C3380CC4-5D6E-409C-BE32-E72D297353CC}">
                <c16:uniqueId val="{00000004-D2D7-4AAE-8919-D13BE20CE446}"/>
              </c:ext>
            </c:extLst>
          </c:dPt>
          <c:dPt>
            <c:idx val="5"/>
            <c:invertIfNegative val="0"/>
            <c:bubble3D val="0"/>
            <c:spPr>
              <a:solidFill>
                <a:srgbClr val="9E480E"/>
              </a:solidFill>
              <a:ln>
                <a:noFill/>
              </a:ln>
              <a:effectLst/>
            </c:spPr>
            <c:extLst>
              <c:ext xmlns:c16="http://schemas.microsoft.com/office/drawing/2014/chart" uri="{C3380CC4-5D6E-409C-BE32-E72D297353CC}">
                <c16:uniqueId val="{00000005-D2D7-4AAE-8919-D13BE20CE446}"/>
              </c:ext>
            </c:extLst>
          </c:dPt>
          <c:dLbls>
            <c:dLbl>
              <c:idx val="0"/>
              <c:layout>
                <c:manualLayout>
                  <c:x val="2.5466751740148807E-17"/>
                  <c:y val="-6.963447703831741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2D7-4AAE-8919-D13BE20CE446}"/>
                </c:ext>
              </c:extLst>
            </c:dLbl>
            <c:dLbl>
              <c:idx val="1"/>
              <c:layout>
                <c:manualLayout>
                  <c:x val="2.7782231928259716E-3"/>
                  <c:y val="-7.548892335241852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2D7-4AAE-8919-D13BE20CE446}"/>
                </c:ext>
              </c:extLst>
            </c:dLbl>
            <c:dLbl>
              <c:idx val="2"/>
              <c:layout>
                <c:manualLayout>
                  <c:x val="0"/>
                  <c:y val="-7.870370370370374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2D7-4AAE-8919-D13BE20CE446}"/>
                </c:ext>
              </c:extLst>
            </c:dLbl>
            <c:dLbl>
              <c:idx val="3"/>
              <c:layout>
                <c:manualLayout>
                  <c:x val="0"/>
                  <c:y val="-8.796296296296296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2D7-4AAE-8919-D13BE20CE446}"/>
                </c:ext>
              </c:extLst>
            </c:dLbl>
            <c:dLbl>
              <c:idx val="4"/>
              <c:layout>
                <c:manualLayout>
                  <c:x val="5.5555555555555558E-3"/>
                  <c:y val="-8.796296296296300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2D7-4AAE-8919-D13BE20CE446}"/>
                </c:ext>
              </c:extLst>
            </c:dLbl>
            <c:dLbl>
              <c:idx val="5"/>
              <c:layout>
                <c:manualLayout>
                  <c:x val="-5.5555555555556572E-3"/>
                  <c:y val="-7.87037037037037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2D7-4AAE-8919-D13BE20CE44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report_data!$C$23:$H$23</c:f>
              <c:strCache>
                <c:ptCount val="6"/>
                <c:pt idx="0">
                  <c:v>White</c:v>
                </c:pt>
                <c:pt idx="1">
                  <c:v>Black</c:v>
                </c:pt>
                <c:pt idx="2">
                  <c:v>Asian</c:v>
                </c:pt>
                <c:pt idx="3">
                  <c:v>AI/IN</c:v>
                </c:pt>
                <c:pt idx="4">
                  <c:v>NH/PI</c:v>
                </c:pt>
                <c:pt idx="5">
                  <c:v>Hispanic</c:v>
                </c:pt>
              </c:strCache>
            </c:strRef>
          </c:cat>
          <c:val>
            <c:numRef>
              <c:f>report_data!$C$24:$H$24</c:f>
              <c:numCache>
                <c:formatCode>0.00</c:formatCode>
                <c:ptCount val="6"/>
                <c:pt idx="0">
                  <c:v>173.56892973243311</c:v>
                </c:pt>
                <c:pt idx="1">
                  <c:v>296.7351063829787</c:v>
                </c:pt>
                <c:pt idx="2">
                  <c:v>163.62352941176471</c:v>
                </c:pt>
                <c:pt idx="3">
                  <c:v>58.15</c:v>
                </c:pt>
                <c:pt idx="4">
                  <c:v>173.44068965517243</c:v>
                </c:pt>
                <c:pt idx="5">
                  <c:v>55.532307692307697</c:v>
                </c:pt>
              </c:numCache>
            </c:numRef>
          </c:val>
          <c:extLst>
            <c:ext xmlns:c16="http://schemas.microsoft.com/office/drawing/2014/chart" uri="{C3380CC4-5D6E-409C-BE32-E72D297353CC}">
              <c16:uniqueId val="{00000006-D2D7-4AAE-8919-D13BE20CE446}"/>
            </c:ext>
          </c:extLst>
        </c:ser>
        <c:dLbls>
          <c:showLegendKey val="0"/>
          <c:showVal val="0"/>
          <c:showCatName val="0"/>
          <c:showSerName val="0"/>
          <c:showPercent val="0"/>
          <c:showBubbleSize val="0"/>
        </c:dLbls>
        <c:gapWidth val="219"/>
        <c:overlap val="-27"/>
        <c:axId val="430202112"/>
        <c:axId val="1"/>
      </c:barChart>
      <c:catAx>
        <c:axId val="430202112"/>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sz="900" b="1">
                    <a:solidFill>
                      <a:sysClr val="windowText" lastClr="000000"/>
                    </a:solidFill>
                  </a:rPr>
                  <a:t>Race / Ethnicity</a:t>
                </a:r>
              </a:p>
            </c:rich>
          </c:tx>
          <c:layout>
            <c:manualLayout>
              <c:xMode val="edge"/>
              <c:yMode val="edge"/>
              <c:x val="0.42656122066374358"/>
              <c:y val="0.9017681880674005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
        <c:crosses val="autoZero"/>
        <c:auto val="1"/>
        <c:lblAlgn val="ctr"/>
        <c:lblOffset val="100"/>
        <c:noMultiLvlLbl val="0"/>
      </c:catAx>
      <c:valAx>
        <c:axId val="1"/>
        <c:scaling>
          <c:orientation val="minMax"/>
          <c:max val="350"/>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b="0" i="0" baseline="0">
                    <a:effectLst/>
                  </a:rPr>
                  <a:t>Crude Rates</a:t>
                </a:r>
                <a:endParaRPr lang="en-US" sz="800">
                  <a:effectLst/>
                </a:endParaRPr>
              </a:p>
              <a:p>
                <a:pPr>
                  <a:defRPr sz="800" b="0" i="0" u="none" strike="noStrike" kern="1200" baseline="0">
                    <a:solidFill>
                      <a:schemeClr val="tx1">
                        <a:lumMod val="65000"/>
                        <a:lumOff val="35000"/>
                      </a:schemeClr>
                    </a:solidFill>
                    <a:latin typeface="+mn-lt"/>
                    <a:ea typeface="+mn-ea"/>
                    <a:cs typeface="+mn-cs"/>
                  </a:defRPr>
                </a:pPr>
                <a:r>
                  <a:rPr lang="en-US" sz="800" b="0" i="0" baseline="0">
                    <a:effectLst/>
                  </a:rPr>
                  <a:t> (per 100,000 population)</a:t>
                </a:r>
                <a:endParaRPr lang="en-US" sz="800">
                  <a:effectLst/>
                </a:endParaRPr>
              </a:p>
            </c:rich>
          </c:tx>
          <c:layout>
            <c:manualLayout>
              <c:xMode val="edge"/>
              <c:yMode val="edge"/>
              <c:x val="3.4404965996058939E-2"/>
              <c:y val="0.15519469468333752"/>
            </c:manualLayout>
          </c:layout>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43020211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505280796237089"/>
          <c:y val="9.9933024543629526E-3"/>
          <c:w val="0.58204675836538278"/>
          <c:h val="0.8472373853448808"/>
        </c:manualLayout>
      </c:layout>
      <c:barChart>
        <c:barDir val="bar"/>
        <c:grouping val="clustered"/>
        <c:varyColors val="0"/>
        <c:ser>
          <c:idx val="0"/>
          <c:order val="0"/>
          <c:tx>
            <c:strRef>
              <c:f>Sheet1!$E$38</c:f>
              <c:strCache>
                <c:ptCount val="1"/>
                <c:pt idx="0">
                  <c:v>Antithrombotics at Discharge</c:v>
                </c:pt>
              </c:strCache>
            </c:strRef>
          </c:tx>
          <c:spPr>
            <a:solidFill>
              <a:srgbClr val="5B9BD5"/>
            </a:solidFill>
            <a:ln>
              <a:noFill/>
            </a:ln>
            <a:effectLst/>
          </c:spPr>
          <c:invertIfNegative val="0"/>
          <c:dLbls>
            <c:dLbl>
              <c:idx val="0"/>
              <c:layout>
                <c:manualLayout>
                  <c:x val="-5.7655697862618462E-2"/>
                  <c:y val="-2.7148658401283969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22C-479A-A2CB-FA00ADC906F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Sheet1!$D$39</c:f>
              <c:numCache>
                <c:formatCode>General</c:formatCode>
                <c:ptCount val="1"/>
                <c:pt idx="0">
                  <c:v>2019</c:v>
                </c:pt>
              </c:numCache>
            </c:numRef>
          </c:cat>
          <c:val>
            <c:numRef>
              <c:f>Sheet1!$E$39</c:f>
              <c:numCache>
                <c:formatCode>0.0%</c:formatCode>
                <c:ptCount val="1"/>
                <c:pt idx="0">
                  <c:v>0.99399999999999999</c:v>
                </c:pt>
              </c:numCache>
            </c:numRef>
          </c:val>
          <c:extLst>
            <c:ext xmlns:c16="http://schemas.microsoft.com/office/drawing/2014/chart" uri="{C3380CC4-5D6E-409C-BE32-E72D297353CC}">
              <c16:uniqueId val="{00000001-922C-479A-A2CB-FA00ADC906F8}"/>
            </c:ext>
          </c:extLst>
        </c:ser>
        <c:ser>
          <c:idx val="1"/>
          <c:order val="1"/>
          <c:tx>
            <c:strRef>
              <c:f>Sheet1!$F$38</c:f>
              <c:strCache>
                <c:ptCount val="1"/>
                <c:pt idx="0">
                  <c:v>Anticoagulation for Atrial-fibrillation</c:v>
                </c:pt>
              </c:strCache>
            </c:strRef>
          </c:tx>
          <c:spPr>
            <a:solidFill>
              <a:srgbClr val="ED7D31"/>
            </a:solidFill>
            <a:ln>
              <a:noFill/>
            </a:ln>
            <a:effectLst/>
          </c:spPr>
          <c:invertIfNegative val="0"/>
          <c:dLbls>
            <c:dLbl>
              <c:idx val="0"/>
              <c:layout>
                <c:manualLayout>
                  <c:x val="-7.0983931040345005E-2"/>
                  <c:y val="2.7148658401283969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22C-479A-A2CB-FA00ADC906F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Sheet1!$D$39</c:f>
              <c:numCache>
                <c:formatCode>General</c:formatCode>
                <c:ptCount val="1"/>
                <c:pt idx="0">
                  <c:v>2019</c:v>
                </c:pt>
              </c:numCache>
            </c:numRef>
          </c:cat>
          <c:val>
            <c:numRef>
              <c:f>Sheet1!$F$39</c:f>
              <c:numCache>
                <c:formatCode>0.0%</c:formatCode>
                <c:ptCount val="1"/>
                <c:pt idx="0">
                  <c:v>0.97</c:v>
                </c:pt>
              </c:numCache>
            </c:numRef>
          </c:val>
          <c:extLst>
            <c:ext xmlns:c16="http://schemas.microsoft.com/office/drawing/2014/chart" uri="{C3380CC4-5D6E-409C-BE32-E72D297353CC}">
              <c16:uniqueId val="{00000003-922C-479A-A2CB-FA00ADC906F8}"/>
            </c:ext>
          </c:extLst>
        </c:ser>
        <c:ser>
          <c:idx val="2"/>
          <c:order val="2"/>
          <c:tx>
            <c:strRef>
              <c:f>Sheet1!$G$38</c:f>
              <c:strCache>
                <c:ptCount val="1"/>
                <c:pt idx="0">
                  <c:v>Dysphagia Screen</c:v>
                </c:pt>
              </c:strCache>
            </c:strRef>
          </c:tx>
          <c:spPr>
            <a:solidFill>
              <a:srgbClr val="A5A5A5"/>
            </a:solidFill>
            <a:ln>
              <a:noFill/>
            </a:ln>
            <a:effectLst/>
          </c:spPr>
          <c:invertIfNegative val="0"/>
          <c:dLbls>
            <c:dLbl>
              <c:idx val="0"/>
              <c:layout>
                <c:manualLayout>
                  <c:x val="-7.124986772555611E-2"/>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22C-479A-A2CB-FA00ADC906F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Sheet1!$D$39</c:f>
              <c:numCache>
                <c:formatCode>General</c:formatCode>
                <c:ptCount val="1"/>
                <c:pt idx="0">
                  <c:v>2019</c:v>
                </c:pt>
              </c:numCache>
            </c:numRef>
          </c:cat>
          <c:val>
            <c:numRef>
              <c:f>Sheet1!$G$39</c:f>
              <c:numCache>
                <c:formatCode>0.0%</c:formatCode>
                <c:ptCount val="1"/>
                <c:pt idx="0">
                  <c:v>0.85199999999999998</c:v>
                </c:pt>
              </c:numCache>
            </c:numRef>
          </c:val>
          <c:extLst>
            <c:ext xmlns:c16="http://schemas.microsoft.com/office/drawing/2014/chart" uri="{C3380CC4-5D6E-409C-BE32-E72D297353CC}">
              <c16:uniqueId val="{00000005-922C-479A-A2CB-FA00ADC906F8}"/>
            </c:ext>
          </c:extLst>
        </c:ser>
        <c:ser>
          <c:idx val="3"/>
          <c:order val="3"/>
          <c:tx>
            <c:strRef>
              <c:f>Sheet1!$H$38</c:f>
              <c:strCache>
                <c:ptCount val="1"/>
                <c:pt idx="0">
                  <c:v>Early Antithrombotics</c:v>
                </c:pt>
              </c:strCache>
            </c:strRef>
          </c:tx>
          <c:spPr>
            <a:solidFill>
              <a:srgbClr val="9E480E"/>
            </a:solidFill>
            <a:ln>
              <a:noFill/>
            </a:ln>
            <a:effectLst/>
          </c:spPr>
          <c:invertIfNegative val="0"/>
          <c:dLbls>
            <c:dLbl>
              <c:idx val="0"/>
              <c:layout>
                <c:manualLayout>
                  <c:x val="-7.1390208742083044E-2"/>
                  <c:y val="-2.714865840128396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22C-479A-A2CB-FA00ADC906F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Sheet1!$D$39</c:f>
              <c:numCache>
                <c:formatCode>General</c:formatCode>
                <c:ptCount val="1"/>
                <c:pt idx="0">
                  <c:v>2019</c:v>
                </c:pt>
              </c:numCache>
            </c:numRef>
          </c:cat>
          <c:val>
            <c:numRef>
              <c:f>Sheet1!$H$39</c:f>
              <c:numCache>
                <c:formatCode>0.0%</c:formatCode>
                <c:ptCount val="1"/>
                <c:pt idx="0">
                  <c:v>0.95599999999999996</c:v>
                </c:pt>
              </c:numCache>
            </c:numRef>
          </c:val>
          <c:extLst>
            <c:ext xmlns:c16="http://schemas.microsoft.com/office/drawing/2014/chart" uri="{C3380CC4-5D6E-409C-BE32-E72D297353CC}">
              <c16:uniqueId val="{00000007-922C-479A-A2CB-FA00ADC906F8}"/>
            </c:ext>
          </c:extLst>
        </c:ser>
        <c:ser>
          <c:idx val="4"/>
          <c:order val="4"/>
          <c:tx>
            <c:strRef>
              <c:f>Sheet1!$I$38</c:f>
              <c:strCache>
                <c:ptCount val="1"/>
                <c:pt idx="0">
                  <c:v>IV rt-Tissue Plasminogen Activator</c:v>
                </c:pt>
              </c:strCache>
            </c:strRef>
          </c:tx>
          <c:spPr>
            <a:solidFill>
              <a:srgbClr val="4472C4"/>
            </a:solidFill>
            <a:ln>
              <a:noFill/>
            </a:ln>
            <a:effectLst/>
          </c:spPr>
          <c:invertIfNegative val="0"/>
          <c:dLbls>
            <c:dLbl>
              <c:idx val="0"/>
              <c:layout>
                <c:manualLayout>
                  <c:x val="-7.0499242783019611E-2"/>
                  <c:y val="5.4297316802567443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22C-479A-A2CB-FA00ADC906F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Sheet1!$D$39</c:f>
              <c:numCache>
                <c:formatCode>General</c:formatCode>
                <c:ptCount val="1"/>
                <c:pt idx="0">
                  <c:v>2019</c:v>
                </c:pt>
              </c:numCache>
            </c:numRef>
          </c:cat>
          <c:val>
            <c:numRef>
              <c:f>Sheet1!$I$39</c:f>
              <c:numCache>
                <c:formatCode>0.0%</c:formatCode>
                <c:ptCount val="1"/>
                <c:pt idx="0">
                  <c:v>0.96199999999999997</c:v>
                </c:pt>
              </c:numCache>
            </c:numRef>
          </c:val>
          <c:extLst>
            <c:ext xmlns:c16="http://schemas.microsoft.com/office/drawing/2014/chart" uri="{C3380CC4-5D6E-409C-BE32-E72D297353CC}">
              <c16:uniqueId val="{00000009-922C-479A-A2CB-FA00ADC906F8}"/>
            </c:ext>
          </c:extLst>
        </c:ser>
        <c:ser>
          <c:idx val="5"/>
          <c:order val="5"/>
          <c:tx>
            <c:strRef>
              <c:f>Sheet1!$J$38</c:f>
              <c:strCache>
                <c:ptCount val="1"/>
                <c:pt idx="0">
                  <c:v>Low Density Lipoprotein</c:v>
                </c:pt>
              </c:strCache>
            </c:strRef>
          </c:tx>
          <c:spPr>
            <a:solidFill>
              <a:srgbClr val="FFC000"/>
            </a:solidFill>
            <a:ln>
              <a:noFill/>
            </a:ln>
            <a:effectLst/>
          </c:spPr>
          <c:invertIfNegative val="0"/>
          <c:dLbls>
            <c:dLbl>
              <c:idx val="0"/>
              <c:layout>
                <c:manualLayout>
                  <c:x val="-7.1514590088003704E-2"/>
                  <c:y val="-5.471956224350205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22C-479A-A2CB-FA00ADC906F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Sheet1!$D$39</c:f>
              <c:numCache>
                <c:formatCode>General</c:formatCode>
                <c:ptCount val="1"/>
                <c:pt idx="0">
                  <c:v>2019</c:v>
                </c:pt>
              </c:numCache>
            </c:numRef>
          </c:cat>
          <c:val>
            <c:numRef>
              <c:f>Sheet1!$J$39</c:f>
              <c:numCache>
                <c:formatCode>0.0%</c:formatCode>
                <c:ptCount val="1"/>
                <c:pt idx="0">
                  <c:v>0.98899999999999999</c:v>
                </c:pt>
              </c:numCache>
            </c:numRef>
          </c:val>
          <c:extLst>
            <c:ext xmlns:c16="http://schemas.microsoft.com/office/drawing/2014/chart" uri="{C3380CC4-5D6E-409C-BE32-E72D297353CC}">
              <c16:uniqueId val="{0000000B-922C-479A-A2CB-FA00ADC906F8}"/>
            </c:ext>
          </c:extLst>
        </c:ser>
        <c:ser>
          <c:idx val="6"/>
          <c:order val="6"/>
          <c:tx>
            <c:strRef>
              <c:f>Sheet1!$K$38</c:f>
              <c:strCache>
                <c:ptCount val="1"/>
                <c:pt idx="0">
                  <c:v>Rehabilitation Consideration</c:v>
                </c:pt>
              </c:strCache>
            </c:strRef>
          </c:tx>
          <c:spPr>
            <a:solidFill>
              <a:srgbClr val="255E91"/>
            </a:solidFill>
            <a:ln>
              <a:noFill/>
            </a:ln>
            <a:effectLst/>
          </c:spPr>
          <c:invertIfNegative val="0"/>
          <c:dLbls>
            <c:dLbl>
              <c:idx val="0"/>
              <c:layout>
                <c:manualLayout>
                  <c:x val="-7.0592745635810888E-2"/>
                  <c:y val="4.2224544093411033E-5"/>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22C-479A-A2CB-FA00ADC906F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Sheet1!$D$39</c:f>
              <c:numCache>
                <c:formatCode>General</c:formatCode>
                <c:ptCount val="1"/>
                <c:pt idx="0">
                  <c:v>2019</c:v>
                </c:pt>
              </c:numCache>
            </c:numRef>
          </c:cat>
          <c:val>
            <c:numRef>
              <c:f>Sheet1!$K$39</c:f>
              <c:numCache>
                <c:formatCode>0.0%</c:formatCode>
                <c:ptCount val="1"/>
                <c:pt idx="0">
                  <c:v>0.98899999999999999</c:v>
                </c:pt>
              </c:numCache>
            </c:numRef>
          </c:val>
          <c:extLst>
            <c:ext xmlns:c16="http://schemas.microsoft.com/office/drawing/2014/chart" uri="{C3380CC4-5D6E-409C-BE32-E72D297353CC}">
              <c16:uniqueId val="{0000000D-922C-479A-A2CB-FA00ADC906F8}"/>
            </c:ext>
          </c:extLst>
        </c:ser>
        <c:ser>
          <c:idx val="7"/>
          <c:order val="7"/>
          <c:tx>
            <c:strRef>
              <c:f>Sheet1!$L$38</c:f>
              <c:strCache>
                <c:ptCount val="1"/>
                <c:pt idx="0">
                  <c:v>Smoking Cessation</c:v>
                </c:pt>
              </c:strCache>
            </c:strRef>
          </c:tx>
          <c:spPr>
            <a:solidFill>
              <a:srgbClr val="70AD47"/>
            </a:solidFill>
            <a:ln>
              <a:noFill/>
            </a:ln>
            <a:effectLst/>
          </c:spPr>
          <c:invertIfNegative val="0"/>
          <c:dLbls>
            <c:dLbl>
              <c:idx val="0"/>
              <c:layout>
                <c:manualLayout>
                  <c:x val="-6.9311461645615677E-2"/>
                  <c:y val="2.757090384221808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22C-479A-A2CB-FA00ADC906F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Sheet1!$D$39</c:f>
              <c:numCache>
                <c:formatCode>General</c:formatCode>
                <c:ptCount val="1"/>
                <c:pt idx="0">
                  <c:v>2019</c:v>
                </c:pt>
              </c:numCache>
            </c:numRef>
          </c:cat>
          <c:val>
            <c:numRef>
              <c:f>Sheet1!$L$39</c:f>
              <c:numCache>
                <c:formatCode>0.0%</c:formatCode>
                <c:ptCount val="1"/>
                <c:pt idx="0">
                  <c:v>0.98699999999999999</c:v>
                </c:pt>
              </c:numCache>
            </c:numRef>
          </c:val>
          <c:extLst>
            <c:ext xmlns:c16="http://schemas.microsoft.com/office/drawing/2014/chart" uri="{C3380CC4-5D6E-409C-BE32-E72D297353CC}">
              <c16:uniqueId val="{0000000F-922C-479A-A2CB-FA00ADC906F8}"/>
            </c:ext>
          </c:extLst>
        </c:ser>
        <c:ser>
          <c:idx val="8"/>
          <c:order val="8"/>
          <c:tx>
            <c:strRef>
              <c:f>Sheet1!$M$38</c:f>
              <c:strCache>
                <c:ptCount val="1"/>
                <c:pt idx="0">
                  <c:v>Stroke Education</c:v>
                </c:pt>
              </c:strCache>
            </c:strRef>
          </c:tx>
          <c:spPr>
            <a:solidFill>
              <a:srgbClr val="636363"/>
            </a:solidFill>
            <a:ln>
              <a:noFill/>
            </a:ln>
            <a:effectLst/>
          </c:spPr>
          <c:invertIfNegative val="0"/>
          <c:dLbls>
            <c:dLbl>
              <c:idx val="0"/>
              <c:layout>
                <c:manualLayout>
                  <c:x val="-7.2139792836536543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22C-479A-A2CB-FA00ADC906F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Sheet1!$D$39</c:f>
              <c:numCache>
                <c:formatCode>General</c:formatCode>
                <c:ptCount val="1"/>
                <c:pt idx="0">
                  <c:v>2019</c:v>
                </c:pt>
              </c:numCache>
            </c:numRef>
          </c:cat>
          <c:val>
            <c:numRef>
              <c:f>Sheet1!$M$39</c:f>
              <c:numCache>
                <c:formatCode>0.0%</c:formatCode>
                <c:ptCount val="1"/>
                <c:pt idx="0">
                  <c:v>0.94799999999999995</c:v>
                </c:pt>
              </c:numCache>
            </c:numRef>
          </c:val>
          <c:extLst>
            <c:ext xmlns:c16="http://schemas.microsoft.com/office/drawing/2014/chart" uri="{C3380CC4-5D6E-409C-BE32-E72D297353CC}">
              <c16:uniqueId val="{00000011-922C-479A-A2CB-FA00ADC906F8}"/>
            </c:ext>
          </c:extLst>
        </c:ser>
        <c:ser>
          <c:idx val="9"/>
          <c:order val="9"/>
          <c:tx>
            <c:strRef>
              <c:f>Sheet1!$N$38</c:f>
              <c:strCache>
                <c:ptCount val="1"/>
                <c:pt idx="0">
                  <c:v>VTE Prophylaxis</c:v>
                </c:pt>
              </c:strCache>
            </c:strRef>
          </c:tx>
          <c:spPr>
            <a:solidFill>
              <a:schemeClr val="accent4">
                <a:lumMod val="60000"/>
              </a:schemeClr>
            </a:solidFill>
            <a:ln>
              <a:noFill/>
            </a:ln>
            <a:effectLst/>
          </c:spPr>
          <c:invertIfNegative val="0"/>
          <c:dPt>
            <c:idx val="0"/>
            <c:invertIfNegative val="0"/>
            <c:bubble3D val="0"/>
            <c:spPr>
              <a:solidFill>
                <a:srgbClr val="997300"/>
              </a:solidFill>
              <a:ln>
                <a:noFill/>
              </a:ln>
              <a:effectLst/>
            </c:spPr>
            <c:extLst>
              <c:ext xmlns:c16="http://schemas.microsoft.com/office/drawing/2014/chart" uri="{C3380CC4-5D6E-409C-BE32-E72D297353CC}">
                <c16:uniqueId val="{00000013-922C-479A-A2CB-FA00ADC906F8}"/>
              </c:ext>
            </c:extLst>
          </c:dPt>
          <c:dLbls>
            <c:dLbl>
              <c:idx val="0"/>
              <c:layout>
                <c:manualLayout>
                  <c:x val="-7.1827191462270124E-2"/>
                  <c:y val="4.222454409339849E-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22C-479A-A2CB-FA00ADC906F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Sheet1!$D$39</c:f>
              <c:numCache>
                <c:formatCode>General</c:formatCode>
                <c:ptCount val="1"/>
                <c:pt idx="0">
                  <c:v>2019</c:v>
                </c:pt>
              </c:numCache>
            </c:numRef>
          </c:cat>
          <c:val>
            <c:numRef>
              <c:f>Sheet1!$N$39</c:f>
              <c:numCache>
                <c:formatCode>0.0%</c:formatCode>
                <c:ptCount val="1"/>
                <c:pt idx="0">
                  <c:v>0.97</c:v>
                </c:pt>
              </c:numCache>
            </c:numRef>
          </c:val>
          <c:extLst>
            <c:ext xmlns:c16="http://schemas.microsoft.com/office/drawing/2014/chart" uri="{C3380CC4-5D6E-409C-BE32-E72D297353CC}">
              <c16:uniqueId val="{00000014-922C-479A-A2CB-FA00ADC906F8}"/>
            </c:ext>
          </c:extLst>
        </c:ser>
        <c:dLbls>
          <c:dLblPos val="outEnd"/>
          <c:showLegendKey val="0"/>
          <c:showVal val="1"/>
          <c:showCatName val="0"/>
          <c:showSerName val="0"/>
          <c:showPercent val="0"/>
          <c:showBubbleSize val="0"/>
        </c:dLbls>
        <c:gapWidth val="182"/>
        <c:axId val="508733768"/>
        <c:axId val="508742952"/>
      </c:barChart>
      <c:catAx>
        <c:axId val="508733768"/>
        <c:scaling>
          <c:orientation val="minMax"/>
        </c:scaling>
        <c:delete val="1"/>
        <c:axPos val="l"/>
        <c:numFmt formatCode="General" sourceLinked="1"/>
        <c:majorTickMark val="none"/>
        <c:minorTickMark val="none"/>
        <c:tickLblPos val="nextTo"/>
        <c:crossAx val="508742952"/>
        <c:crosses val="autoZero"/>
        <c:auto val="1"/>
        <c:lblAlgn val="ctr"/>
        <c:lblOffset val="100"/>
        <c:noMultiLvlLbl val="0"/>
      </c:catAx>
      <c:valAx>
        <c:axId val="508742952"/>
        <c:scaling>
          <c:orientation val="minMax"/>
          <c:max val="1"/>
          <c:min val="0.75000000000000011"/>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ysClr val="windowText" lastClr="000000"/>
                    </a:solidFill>
                  </a:rPr>
                  <a:t>Percent (%) of</a:t>
                </a:r>
                <a:r>
                  <a:rPr lang="en-US" baseline="0">
                    <a:solidFill>
                      <a:sysClr val="windowText" lastClr="000000"/>
                    </a:solidFill>
                  </a:rPr>
                  <a:t> Patients</a:t>
                </a:r>
                <a:endParaRPr lang="en-US">
                  <a:solidFill>
                    <a:sysClr val="windowText" lastClr="000000"/>
                  </a:solidFill>
                </a:endParaRPr>
              </a:p>
            </c:rich>
          </c:tx>
          <c:layout>
            <c:manualLayout>
              <c:xMode val="edge"/>
              <c:yMode val="edge"/>
              <c:x val="3.9513889250294476E-2"/>
              <c:y val="0.8505044766853253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08733768"/>
        <c:crosses val="autoZero"/>
        <c:crossBetween val="between"/>
        <c:majorUnit val="0.1"/>
      </c:valAx>
      <c:spPr>
        <a:noFill/>
        <a:ln>
          <a:noFill/>
        </a:ln>
        <a:effectLst/>
      </c:spPr>
    </c:plotArea>
    <c:legend>
      <c:legendPos val="b"/>
      <c:layout>
        <c:manualLayout>
          <c:xMode val="edge"/>
          <c:yMode val="edge"/>
          <c:x val="4.3245503102594621E-3"/>
          <c:y val="7.7942110333367412E-2"/>
          <c:w val="0.36624529666772487"/>
          <c:h val="0.71425238926992085"/>
        </c:manualLayout>
      </c:layout>
      <c:overlay val="0"/>
      <c:spPr>
        <a:noFill/>
        <a:ln>
          <a:noFill/>
        </a:ln>
        <a:effectLst/>
      </c:spPr>
      <c:txPr>
        <a:bodyPr rot="0" spcFirstLastPara="1" vertOverflow="ellipsis" vert="horz" wrap="square" anchor="b" anchorCtr="0"/>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60228634452883"/>
          <c:y val="7.6388888888888895E-2"/>
          <c:w val="0.81097438105802711"/>
          <c:h val="0.76251202974628174"/>
        </c:manualLayout>
      </c:layout>
      <c:barChart>
        <c:barDir val="col"/>
        <c:grouping val="clustered"/>
        <c:varyColors val="0"/>
        <c:ser>
          <c:idx val="0"/>
          <c:order val="0"/>
          <c:spPr>
            <a:solidFill>
              <a:schemeClr val="accent5">
                <a:lumMod val="75000"/>
              </a:schemeClr>
            </a:solidFill>
            <a:ln>
              <a:noFill/>
            </a:ln>
            <a:effectLst/>
          </c:spPr>
          <c:invertIfNegative val="0"/>
          <c:dPt>
            <c:idx val="0"/>
            <c:invertIfNegative val="0"/>
            <c:bubble3D val="0"/>
            <c:spPr>
              <a:solidFill>
                <a:srgbClr val="255E91"/>
              </a:solidFill>
              <a:ln>
                <a:noFill/>
              </a:ln>
              <a:effectLst/>
            </c:spPr>
            <c:extLst>
              <c:ext xmlns:c16="http://schemas.microsoft.com/office/drawing/2014/chart" uri="{C3380CC4-5D6E-409C-BE32-E72D297353CC}">
                <c16:uniqueId val="{00000000-7FDE-45E9-AEBF-BAA1AB1F0B3D}"/>
              </c:ext>
            </c:extLst>
          </c:dPt>
          <c:dPt>
            <c:idx val="1"/>
            <c:invertIfNegative val="0"/>
            <c:bubble3D val="0"/>
            <c:spPr>
              <a:solidFill>
                <a:srgbClr val="ED7D31"/>
              </a:solidFill>
              <a:ln>
                <a:noFill/>
              </a:ln>
              <a:effectLst/>
            </c:spPr>
            <c:extLst>
              <c:ext xmlns:c16="http://schemas.microsoft.com/office/drawing/2014/chart" uri="{C3380CC4-5D6E-409C-BE32-E72D297353CC}">
                <c16:uniqueId val="{00000001-7FDE-45E9-AEBF-BAA1AB1F0B3D}"/>
              </c:ext>
            </c:extLst>
          </c:dPt>
          <c:dPt>
            <c:idx val="2"/>
            <c:invertIfNegative val="0"/>
            <c:bubble3D val="0"/>
            <c:spPr>
              <a:solidFill>
                <a:srgbClr val="636363"/>
              </a:solidFill>
              <a:ln>
                <a:noFill/>
              </a:ln>
              <a:effectLst/>
            </c:spPr>
            <c:extLst>
              <c:ext xmlns:c16="http://schemas.microsoft.com/office/drawing/2014/chart" uri="{C3380CC4-5D6E-409C-BE32-E72D297353CC}">
                <c16:uniqueId val="{00000002-7FDE-45E9-AEBF-BAA1AB1F0B3D}"/>
              </c:ext>
            </c:extLst>
          </c:dPt>
          <c:dPt>
            <c:idx val="3"/>
            <c:invertIfNegative val="0"/>
            <c:bubble3D val="0"/>
            <c:spPr>
              <a:solidFill>
                <a:srgbClr val="9E480E"/>
              </a:solidFill>
              <a:ln>
                <a:noFill/>
              </a:ln>
              <a:effectLst/>
            </c:spPr>
            <c:extLst>
              <c:ext xmlns:c16="http://schemas.microsoft.com/office/drawing/2014/chart" uri="{C3380CC4-5D6E-409C-BE32-E72D297353CC}">
                <c16:uniqueId val="{00000003-7FDE-45E9-AEBF-BAA1AB1F0B3D}"/>
              </c:ext>
            </c:extLst>
          </c:dPt>
          <c:dPt>
            <c:idx val="4"/>
            <c:invertIfNegative val="0"/>
            <c:bubble3D val="0"/>
            <c:spPr>
              <a:solidFill>
                <a:srgbClr val="FFC000"/>
              </a:solidFill>
              <a:ln>
                <a:noFill/>
              </a:ln>
              <a:effectLst/>
            </c:spPr>
            <c:extLst>
              <c:ext xmlns:c16="http://schemas.microsoft.com/office/drawing/2014/chart" uri="{C3380CC4-5D6E-409C-BE32-E72D297353CC}">
                <c16:uniqueId val="{00000004-7FDE-45E9-AEBF-BAA1AB1F0B3D}"/>
              </c:ext>
            </c:extLst>
          </c:dPt>
          <c:dPt>
            <c:idx val="5"/>
            <c:invertIfNegative val="0"/>
            <c:bubble3D val="0"/>
            <c:spPr>
              <a:solidFill>
                <a:srgbClr val="70AD47"/>
              </a:solidFill>
              <a:ln>
                <a:noFill/>
              </a:ln>
              <a:effectLst/>
            </c:spPr>
            <c:extLst>
              <c:ext xmlns:c16="http://schemas.microsoft.com/office/drawing/2014/chart" uri="{C3380CC4-5D6E-409C-BE32-E72D297353CC}">
                <c16:uniqueId val="{00000005-7FDE-45E9-AEBF-BAA1AB1F0B3D}"/>
              </c:ext>
            </c:extLst>
          </c:dPt>
          <c:dLbls>
            <c:dLbl>
              <c:idx val="0"/>
              <c:layout>
                <c:manualLayout>
                  <c:x val="2.7777777777777779E-3"/>
                  <c:y val="-5.555555555555555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FDE-45E9-AEBF-BAA1AB1F0B3D}"/>
                </c:ext>
              </c:extLst>
            </c:dLbl>
            <c:dLbl>
              <c:idx val="1"/>
              <c:layout>
                <c:manualLayout>
                  <c:x val="-5.0925337632079971E-17"/>
                  <c:y val="-6.944444444444444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FDE-45E9-AEBF-BAA1AB1F0B3D}"/>
                </c:ext>
              </c:extLst>
            </c:dLbl>
            <c:dLbl>
              <c:idx val="2"/>
              <c:layout>
                <c:manualLayout>
                  <c:x val="-5.0925337632079971E-17"/>
                  <c:y val="-5.092592592592592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DE-45E9-AEBF-BAA1AB1F0B3D}"/>
                </c:ext>
              </c:extLst>
            </c:dLbl>
            <c:dLbl>
              <c:idx val="3"/>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DE-45E9-AEBF-BAA1AB1F0B3D}"/>
                </c:ext>
              </c:extLst>
            </c:dLbl>
            <c:dLbl>
              <c:idx val="4"/>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DE-45E9-AEBF-BAA1AB1F0B3D}"/>
                </c:ext>
              </c:extLst>
            </c:dLbl>
            <c:dLbl>
              <c:idx val="5"/>
              <c:layout>
                <c:manualLayout>
                  <c:x val="-2.7777777777778798E-3"/>
                  <c:y val="-4.166666666666665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FDE-45E9-AEBF-BAA1AB1F0B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numRef>
              <c:f>report_data!$I$3:$I$8</c:f>
              <c:numCache>
                <c:formatCode>General</c:formatCode>
                <c:ptCount val="6"/>
                <c:pt idx="0">
                  <c:v>2014</c:v>
                </c:pt>
                <c:pt idx="1">
                  <c:v>2015</c:v>
                </c:pt>
                <c:pt idx="2">
                  <c:v>2016</c:v>
                </c:pt>
                <c:pt idx="3">
                  <c:v>2017</c:v>
                </c:pt>
                <c:pt idx="4">
                  <c:v>2018</c:v>
                </c:pt>
                <c:pt idx="5">
                  <c:v>2019</c:v>
                </c:pt>
              </c:numCache>
            </c:numRef>
          </c:cat>
          <c:val>
            <c:numRef>
              <c:f>report_data!$J$3:$J$8</c:f>
              <c:numCache>
                <c:formatCode>0.0%</c:formatCode>
                <c:ptCount val="6"/>
                <c:pt idx="0">
                  <c:v>0.745</c:v>
                </c:pt>
                <c:pt idx="1">
                  <c:v>0.82499999999999996</c:v>
                </c:pt>
                <c:pt idx="2">
                  <c:v>0.85099999999999998</c:v>
                </c:pt>
                <c:pt idx="3">
                  <c:v>0.84299999999999997</c:v>
                </c:pt>
                <c:pt idx="4">
                  <c:v>0.82199999999999995</c:v>
                </c:pt>
                <c:pt idx="5">
                  <c:v>0.85199999999999998</c:v>
                </c:pt>
              </c:numCache>
            </c:numRef>
          </c:val>
          <c:extLst>
            <c:ext xmlns:c16="http://schemas.microsoft.com/office/drawing/2014/chart" uri="{C3380CC4-5D6E-409C-BE32-E72D297353CC}">
              <c16:uniqueId val="{00000006-7FDE-45E9-AEBF-BAA1AB1F0B3D}"/>
            </c:ext>
          </c:extLst>
        </c:ser>
        <c:dLbls>
          <c:dLblPos val="outEnd"/>
          <c:showLegendKey val="0"/>
          <c:showVal val="1"/>
          <c:showCatName val="0"/>
          <c:showSerName val="0"/>
          <c:showPercent val="0"/>
          <c:showBubbleSize val="0"/>
        </c:dLbls>
        <c:gapWidth val="219"/>
        <c:overlap val="-27"/>
        <c:axId val="488890584"/>
        <c:axId val="488883040"/>
      </c:barChart>
      <c:catAx>
        <c:axId val="488890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88883040"/>
        <c:crosses val="autoZero"/>
        <c:auto val="1"/>
        <c:lblAlgn val="ctr"/>
        <c:lblOffset val="100"/>
        <c:noMultiLvlLbl val="0"/>
      </c:catAx>
      <c:valAx>
        <c:axId val="4888830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0" i="0" baseline="0">
                    <a:solidFill>
                      <a:sysClr val="windowText" lastClr="000000"/>
                    </a:solidFill>
                    <a:effectLst/>
                  </a:rPr>
                  <a:t>Percent (%) of Patients</a:t>
                </a:r>
                <a:endParaRPr lang="en-US" sz="900">
                  <a:solidFill>
                    <a:sysClr val="windowText" lastClr="000000"/>
                  </a:solidFill>
                  <a:effectLst/>
                </a:endParaRPr>
              </a:p>
            </c:rich>
          </c:tx>
          <c:layout>
            <c:manualLayout>
              <c:xMode val="edge"/>
              <c:yMode val="edge"/>
              <c:x val="3.6031707902954603E-2"/>
              <c:y val="0.1535646325459317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488890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497439883998"/>
          <c:y val="8.6670608153502984E-2"/>
          <c:w val="0.83213205160500447"/>
          <c:h val="0.76753223821794525"/>
        </c:manualLayout>
      </c:layout>
      <c:barChart>
        <c:barDir val="col"/>
        <c:grouping val="clustered"/>
        <c:varyColors val="0"/>
        <c:ser>
          <c:idx val="0"/>
          <c:order val="0"/>
          <c:spPr>
            <a:solidFill>
              <a:schemeClr val="accent5">
                <a:lumMod val="75000"/>
              </a:schemeClr>
            </a:solidFill>
            <a:ln>
              <a:noFill/>
            </a:ln>
            <a:effectLst/>
          </c:spPr>
          <c:invertIfNegative val="0"/>
          <c:dPt>
            <c:idx val="0"/>
            <c:invertIfNegative val="0"/>
            <c:bubble3D val="0"/>
            <c:spPr>
              <a:solidFill>
                <a:srgbClr val="255E91"/>
              </a:solidFill>
              <a:ln>
                <a:noFill/>
              </a:ln>
              <a:effectLst/>
            </c:spPr>
            <c:extLst>
              <c:ext xmlns:c16="http://schemas.microsoft.com/office/drawing/2014/chart" uri="{C3380CC4-5D6E-409C-BE32-E72D297353CC}">
                <c16:uniqueId val="{00000000-EFEB-48CF-AD4A-4EED965944D0}"/>
              </c:ext>
            </c:extLst>
          </c:dPt>
          <c:dPt>
            <c:idx val="1"/>
            <c:invertIfNegative val="0"/>
            <c:bubble3D val="0"/>
            <c:spPr>
              <a:solidFill>
                <a:srgbClr val="ED7D31"/>
              </a:solidFill>
              <a:ln>
                <a:noFill/>
              </a:ln>
              <a:effectLst/>
            </c:spPr>
            <c:extLst>
              <c:ext xmlns:c16="http://schemas.microsoft.com/office/drawing/2014/chart" uri="{C3380CC4-5D6E-409C-BE32-E72D297353CC}">
                <c16:uniqueId val="{00000001-EFEB-48CF-AD4A-4EED965944D0}"/>
              </c:ext>
            </c:extLst>
          </c:dPt>
          <c:dPt>
            <c:idx val="2"/>
            <c:invertIfNegative val="0"/>
            <c:bubble3D val="0"/>
            <c:spPr>
              <a:solidFill>
                <a:srgbClr val="636363"/>
              </a:solidFill>
              <a:ln>
                <a:noFill/>
              </a:ln>
              <a:effectLst/>
            </c:spPr>
            <c:extLst>
              <c:ext xmlns:c16="http://schemas.microsoft.com/office/drawing/2014/chart" uri="{C3380CC4-5D6E-409C-BE32-E72D297353CC}">
                <c16:uniqueId val="{00000002-EFEB-48CF-AD4A-4EED965944D0}"/>
              </c:ext>
            </c:extLst>
          </c:dPt>
          <c:dPt>
            <c:idx val="3"/>
            <c:invertIfNegative val="0"/>
            <c:bubble3D val="0"/>
            <c:spPr>
              <a:solidFill>
                <a:srgbClr val="9E480E"/>
              </a:solidFill>
              <a:ln>
                <a:noFill/>
              </a:ln>
              <a:effectLst/>
            </c:spPr>
            <c:extLst>
              <c:ext xmlns:c16="http://schemas.microsoft.com/office/drawing/2014/chart" uri="{C3380CC4-5D6E-409C-BE32-E72D297353CC}">
                <c16:uniqueId val="{00000003-EFEB-48CF-AD4A-4EED965944D0}"/>
              </c:ext>
            </c:extLst>
          </c:dPt>
          <c:dPt>
            <c:idx val="4"/>
            <c:invertIfNegative val="0"/>
            <c:bubble3D val="0"/>
            <c:spPr>
              <a:solidFill>
                <a:srgbClr val="FFC000"/>
              </a:solidFill>
              <a:ln>
                <a:noFill/>
              </a:ln>
              <a:effectLst/>
            </c:spPr>
            <c:extLst>
              <c:ext xmlns:c16="http://schemas.microsoft.com/office/drawing/2014/chart" uri="{C3380CC4-5D6E-409C-BE32-E72D297353CC}">
                <c16:uniqueId val="{00000004-EFEB-48CF-AD4A-4EED965944D0}"/>
              </c:ext>
            </c:extLst>
          </c:dPt>
          <c:dPt>
            <c:idx val="5"/>
            <c:invertIfNegative val="0"/>
            <c:bubble3D val="0"/>
            <c:spPr>
              <a:solidFill>
                <a:srgbClr val="70AD47"/>
              </a:solidFill>
              <a:ln>
                <a:noFill/>
              </a:ln>
              <a:effectLst/>
            </c:spPr>
            <c:extLst>
              <c:ext xmlns:c16="http://schemas.microsoft.com/office/drawing/2014/chart" uri="{C3380CC4-5D6E-409C-BE32-E72D297353CC}">
                <c16:uniqueId val="{00000005-EFEB-48CF-AD4A-4EED965944D0}"/>
              </c:ext>
            </c:extLst>
          </c:dPt>
          <c:dLbls>
            <c:dLbl>
              <c:idx val="0"/>
              <c:layout>
                <c:manualLayout>
                  <c:x val="0"/>
                  <c:y val="-4.21311988319340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FEB-48CF-AD4A-4EED965944D0}"/>
                </c:ext>
              </c:extLst>
            </c:dLbl>
            <c:dLbl>
              <c:idx val="1"/>
              <c:layout>
                <c:manualLayout>
                  <c:x val="2.7754648903690858E-3"/>
                  <c:y val="-5.040957781978575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FEB-48CF-AD4A-4EED965944D0}"/>
                </c:ext>
              </c:extLst>
            </c:dLbl>
            <c:dLbl>
              <c:idx val="2"/>
              <c:layout>
                <c:manualLayout>
                  <c:x val="0"/>
                  <c:y val="-3.360638521319058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FEB-48CF-AD4A-4EED965944D0}"/>
                </c:ext>
              </c:extLst>
            </c:dLbl>
            <c:dLbl>
              <c:idx val="3"/>
              <c:layout>
                <c:manualLayout>
                  <c:x val="0"/>
                  <c:y val="-3.360638521319054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FEB-48CF-AD4A-4EED965944D0}"/>
                </c:ext>
              </c:extLst>
            </c:dLbl>
            <c:dLbl>
              <c:idx val="4"/>
              <c:layout>
                <c:manualLayout>
                  <c:x val="2.7754648903690351E-3"/>
                  <c:y val="-4.200798151648815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FEB-48CF-AD4A-4EED965944D0}"/>
                </c:ext>
              </c:extLst>
            </c:dLbl>
            <c:dLbl>
              <c:idx val="5"/>
              <c:layout>
                <c:manualLayout>
                  <c:x val="1.0176587037218312E-16"/>
                  <c:y val="-3.360638521319054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FEB-48CF-AD4A-4EED965944D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numRef>
              <c:f>report_data!$J$3:$J$8</c:f>
              <c:numCache>
                <c:formatCode>General</c:formatCode>
                <c:ptCount val="6"/>
                <c:pt idx="0">
                  <c:v>2014</c:v>
                </c:pt>
                <c:pt idx="1">
                  <c:v>2015</c:v>
                </c:pt>
                <c:pt idx="2">
                  <c:v>2016</c:v>
                </c:pt>
                <c:pt idx="3">
                  <c:v>2017</c:v>
                </c:pt>
                <c:pt idx="4">
                  <c:v>2018</c:v>
                </c:pt>
                <c:pt idx="5">
                  <c:v>2019</c:v>
                </c:pt>
              </c:numCache>
            </c:numRef>
          </c:cat>
          <c:val>
            <c:numRef>
              <c:f>report_data!$K$3:$K$8</c:f>
              <c:numCache>
                <c:formatCode>0.0%</c:formatCode>
                <c:ptCount val="6"/>
                <c:pt idx="0">
                  <c:v>0.96599999999999997</c:v>
                </c:pt>
                <c:pt idx="1">
                  <c:v>0.94099999999999995</c:v>
                </c:pt>
                <c:pt idx="2">
                  <c:v>0.93200000000000005</c:v>
                </c:pt>
                <c:pt idx="3">
                  <c:v>0.94599999999999995</c:v>
                </c:pt>
                <c:pt idx="4">
                  <c:v>0.96099999999999997</c:v>
                </c:pt>
                <c:pt idx="5">
                  <c:v>0.94799999999999995</c:v>
                </c:pt>
              </c:numCache>
            </c:numRef>
          </c:val>
          <c:extLst>
            <c:ext xmlns:c16="http://schemas.microsoft.com/office/drawing/2014/chart" uri="{C3380CC4-5D6E-409C-BE32-E72D297353CC}">
              <c16:uniqueId val="{00000006-EFEB-48CF-AD4A-4EED965944D0}"/>
            </c:ext>
          </c:extLst>
        </c:ser>
        <c:dLbls>
          <c:dLblPos val="outEnd"/>
          <c:showLegendKey val="0"/>
          <c:showVal val="1"/>
          <c:showCatName val="0"/>
          <c:showSerName val="0"/>
          <c:showPercent val="0"/>
          <c:showBubbleSize val="0"/>
        </c:dLbls>
        <c:gapWidth val="219"/>
        <c:overlap val="-27"/>
        <c:axId val="743612568"/>
        <c:axId val="743602728"/>
      </c:barChart>
      <c:catAx>
        <c:axId val="743612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43602728"/>
        <c:crosses val="autoZero"/>
        <c:auto val="1"/>
        <c:lblAlgn val="ctr"/>
        <c:lblOffset val="100"/>
        <c:noMultiLvlLbl val="0"/>
      </c:catAx>
      <c:valAx>
        <c:axId val="743602728"/>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b="0" i="0" baseline="0">
                    <a:solidFill>
                      <a:sysClr val="windowText" lastClr="000000"/>
                    </a:solidFill>
                    <a:effectLst/>
                  </a:rPr>
                  <a:t>Percent (%) of Patients</a:t>
                </a:r>
                <a:endParaRPr lang="en-US" sz="800">
                  <a:solidFill>
                    <a:sysClr val="windowText" lastClr="000000"/>
                  </a:solidFill>
                  <a:effectLst/>
                </a:endParaRPr>
              </a:p>
            </c:rich>
          </c:tx>
          <c:layout>
            <c:manualLayout>
              <c:xMode val="edge"/>
              <c:yMode val="edge"/>
              <c:x val="2.4223989679998687E-2"/>
              <c:y val="0.162264454361148"/>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743612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942293294114"/>
          <c:y val="9.1224876105845717E-2"/>
          <c:w val="0.81050218722659673"/>
          <c:h val="0.71744771469509561"/>
        </c:manualLayout>
      </c:layout>
      <c:barChart>
        <c:barDir val="col"/>
        <c:grouping val="clustered"/>
        <c:varyColors val="0"/>
        <c:ser>
          <c:idx val="0"/>
          <c:order val="0"/>
          <c:spPr>
            <a:solidFill>
              <a:schemeClr val="accent5">
                <a:lumMod val="75000"/>
              </a:schemeClr>
            </a:solidFill>
            <a:ln>
              <a:noFill/>
            </a:ln>
            <a:effectLst/>
          </c:spPr>
          <c:invertIfNegative val="0"/>
          <c:dPt>
            <c:idx val="0"/>
            <c:invertIfNegative val="0"/>
            <c:bubble3D val="0"/>
            <c:spPr>
              <a:solidFill>
                <a:srgbClr val="255E91"/>
              </a:solidFill>
              <a:ln>
                <a:noFill/>
              </a:ln>
              <a:effectLst/>
            </c:spPr>
            <c:extLst>
              <c:ext xmlns:c16="http://schemas.microsoft.com/office/drawing/2014/chart" uri="{C3380CC4-5D6E-409C-BE32-E72D297353CC}">
                <c16:uniqueId val="{00000000-3BDC-4737-97EC-480AE2345624}"/>
              </c:ext>
            </c:extLst>
          </c:dPt>
          <c:dPt>
            <c:idx val="1"/>
            <c:invertIfNegative val="0"/>
            <c:bubble3D val="0"/>
            <c:spPr>
              <a:solidFill>
                <a:srgbClr val="ED7D31"/>
              </a:solidFill>
              <a:ln>
                <a:noFill/>
              </a:ln>
              <a:effectLst/>
            </c:spPr>
            <c:extLst>
              <c:ext xmlns:c16="http://schemas.microsoft.com/office/drawing/2014/chart" uri="{C3380CC4-5D6E-409C-BE32-E72D297353CC}">
                <c16:uniqueId val="{00000001-3BDC-4737-97EC-480AE2345624}"/>
              </c:ext>
            </c:extLst>
          </c:dPt>
          <c:dPt>
            <c:idx val="2"/>
            <c:invertIfNegative val="0"/>
            <c:bubble3D val="0"/>
            <c:spPr>
              <a:solidFill>
                <a:srgbClr val="636363"/>
              </a:solidFill>
              <a:ln>
                <a:noFill/>
              </a:ln>
              <a:effectLst/>
            </c:spPr>
            <c:extLst>
              <c:ext xmlns:c16="http://schemas.microsoft.com/office/drawing/2014/chart" uri="{C3380CC4-5D6E-409C-BE32-E72D297353CC}">
                <c16:uniqueId val="{00000002-3BDC-4737-97EC-480AE2345624}"/>
              </c:ext>
            </c:extLst>
          </c:dPt>
          <c:dPt>
            <c:idx val="3"/>
            <c:invertIfNegative val="0"/>
            <c:bubble3D val="0"/>
            <c:spPr>
              <a:solidFill>
                <a:srgbClr val="9E480E"/>
              </a:solidFill>
              <a:ln>
                <a:noFill/>
              </a:ln>
              <a:effectLst/>
            </c:spPr>
            <c:extLst>
              <c:ext xmlns:c16="http://schemas.microsoft.com/office/drawing/2014/chart" uri="{C3380CC4-5D6E-409C-BE32-E72D297353CC}">
                <c16:uniqueId val="{00000003-3BDC-4737-97EC-480AE2345624}"/>
              </c:ext>
            </c:extLst>
          </c:dPt>
          <c:dPt>
            <c:idx val="4"/>
            <c:invertIfNegative val="0"/>
            <c:bubble3D val="0"/>
            <c:spPr>
              <a:solidFill>
                <a:srgbClr val="FFC000"/>
              </a:solidFill>
              <a:ln>
                <a:noFill/>
              </a:ln>
              <a:effectLst/>
            </c:spPr>
            <c:extLst>
              <c:ext xmlns:c16="http://schemas.microsoft.com/office/drawing/2014/chart" uri="{C3380CC4-5D6E-409C-BE32-E72D297353CC}">
                <c16:uniqueId val="{00000004-3BDC-4737-97EC-480AE2345624}"/>
              </c:ext>
            </c:extLst>
          </c:dPt>
          <c:dPt>
            <c:idx val="5"/>
            <c:invertIfNegative val="0"/>
            <c:bubble3D val="0"/>
            <c:spPr>
              <a:solidFill>
                <a:srgbClr val="70AD47"/>
              </a:solidFill>
              <a:ln>
                <a:noFill/>
              </a:ln>
              <a:effectLst/>
            </c:spPr>
            <c:extLst>
              <c:ext xmlns:c16="http://schemas.microsoft.com/office/drawing/2014/chart" uri="{C3380CC4-5D6E-409C-BE32-E72D297353CC}">
                <c16:uniqueId val="{00000005-3BDC-4737-97EC-480AE2345624}"/>
              </c:ext>
            </c:extLst>
          </c:dPt>
          <c:dLbls>
            <c:dLbl>
              <c:idx val="0"/>
              <c:layout>
                <c:manualLayout>
                  <c:x val="0"/>
                  <c:y val="-4.16666666666667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DC-4737-97EC-480AE2345624}"/>
                </c:ext>
              </c:extLst>
            </c:dLbl>
            <c:dLbl>
              <c:idx val="1"/>
              <c:layout>
                <c:manualLayout>
                  <c:x val="-5.0925337632079971E-17"/>
                  <c:y val="-4.16666666666667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DC-4737-97EC-480AE2345624}"/>
                </c:ext>
              </c:extLst>
            </c:dLbl>
            <c:dLbl>
              <c:idx val="2"/>
              <c:layout>
                <c:manualLayout>
                  <c:x val="-5.0925337632079971E-17"/>
                  <c:y val="-4.16666666666666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BDC-4737-97EC-480AE2345624}"/>
                </c:ext>
              </c:extLst>
            </c:dLbl>
            <c:dLbl>
              <c:idx val="3"/>
              <c:layout>
                <c:manualLayout>
                  <c:x val="0"/>
                  <c:y val="-5.555555555555556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BDC-4737-97EC-480AE2345624}"/>
                </c:ext>
              </c:extLst>
            </c:dLbl>
            <c:dLbl>
              <c:idx val="4"/>
              <c:layout>
                <c:manualLayout>
                  <c:x val="0"/>
                  <c:y val="-6.018518518518518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BDC-4737-97EC-480AE2345624}"/>
                </c:ext>
              </c:extLst>
            </c:dLbl>
            <c:dLbl>
              <c:idx val="5"/>
              <c:layout>
                <c:manualLayout>
                  <c:x val="0"/>
                  <c:y val="-3.703703703703704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BDC-4737-97EC-480AE234562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numRef>
              <c:f>report_data!$J$3:$J$8</c:f>
              <c:numCache>
                <c:formatCode>General</c:formatCode>
                <c:ptCount val="6"/>
                <c:pt idx="0">
                  <c:v>2014</c:v>
                </c:pt>
                <c:pt idx="1">
                  <c:v>2015</c:v>
                </c:pt>
                <c:pt idx="2">
                  <c:v>2016</c:v>
                </c:pt>
                <c:pt idx="3">
                  <c:v>2017</c:v>
                </c:pt>
                <c:pt idx="4">
                  <c:v>2018</c:v>
                </c:pt>
                <c:pt idx="5">
                  <c:v>2019</c:v>
                </c:pt>
              </c:numCache>
            </c:numRef>
          </c:cat>
          <c:val>
            <c:numRef>
              <c:f>report_data!$K$3:$K$8</c:f>
              <c:numCache>
                <c:formatCode>0.0%</c:formatCode>
                <c:ptCount val="6"/>
                <c:pt idx="0">
                  <c:v>0.94899999999999995</c:v>
                </c:pt>
                <c:pt idx="1">
                  <c:v>0.95099999999999996</c:v>
                </c:pt>
                <c:pt idx="2">
                  <c:v>0.97299999999999998</c:v>
                </c:pt>
                <c:pt idx="3">
                  <c:v>0.96799999999999997</c:v>
                </c:pt>
                <c:pt idx="4">
                  <c:v>0.96099999999999997</c:v>
                </c:pt>
                <c:pt idx="5">
                  <c:v>0.97</c:v>
                </c:pt>
              </c:numCache>
            </c:numRef>
          </c:val>
          <c:extLst>
            <c:ext xmlns:c16="http://schemas.microsoft.com/office/drawing/2014/chart" uri="{C3380CC4-5D6E-409C-BE32-E72D297353CC}">
              <c16:uniqueId val="{00000006-3BDC-4737-97EC-480AE2345624}"/>
            </c:ext>
          </c:extLst>
        </c:ser>
        <c:dLbls>
          <c:dLblPos val="outEnd"/>
          <c:showLegendKey val="0"/>
          <c:showVal val="1"/>
          <c:showCatName val="0"/>
          <c:showSerName val="0"/>
          <c:showPercent val="0"/>
          <c:showBubbleSize val="0"/>
        </c:dLbls>
        <c:gapWidth val="219"/>
        <c:overlap val="-27"/>
        <c:axId val="743619784"/>
        <c:axId val="743614864"/>
      </c:barChart>
      <c:catAx>
        <c:axId val="743619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43614864"/>
        <c:crosses val="autoZero"/>
        <c:auto val="1"/>
        <c:lblAlgn val="ctr"/>
        <c:lblOffset val="100"/>
        <c:noMultiLvlLbl val="0"/>
      </c:catAx>
      <c:valAx>
        <c:axId val="743614864"/>
        <c:scaling>
          <c:orientation val="minMax"/>
        </c:scaling>
        <c:delete val="0"/>
        <c:axPos val="l"/>
        <c:title>
          <c:tx>
            <c:rich>
              <a:bodyPr rot="-54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r>
                  <a:rPr lang="en-US" sz="700" b="0" i="0" baseline="0">
                    <a:solidFill>
                      <a:sysClr val="windowText" lastClr="000000"/>
                    </a:solidFill>
                    <a:effectLst/>
                  </a:rPr>
                  <a:t>Percent (%) of Patients</a:t>
                </a:r>
                <a:endParaRPr lang="en-US" sz="700">
                  <a:solidFill>
                    <a:sysClr val="windowText" lastClr="000000"/>
                  </a:solidFill>
                  <a:effectLst/>
                </a:endParaRPr>
              </a:p>
            </c:rich>
          </c:tx>
          <c:layout>
            <c:manualLayout>
              <c:xMode val="edge"/>
              <c:yMode val="edge"/>
              <c:x val="3.052225650258324E-2"/>
              <c:y val="0.12355362331045519"/>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743619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19975710630165"/>
          <c:y val="8.7962962962962965E-2"/>
          <c:w val="0.81924468462412547"/>
          <c:h val="0.7515410418096079"/>
        </c:manualLayout>
      </c:layout>
      <c:barChart>
        <c:barDir val="col"/>
        <c:grouping val="clustered"/>
        <c:varyColors val="0"/>
        <c:ser>
          <c:idx val="0"/>
          <c:order val="0"/>
          <c:spPr>
            <a:solidFill>
              <a:schemeClr val="accent5">
                <a:lumMod val="75000"/>
              </a:schemeClr>
            </a:solidFill>
            <a:ln>
              <a:noFill/>
            </a:ln>
            <a:effectLst/>
          </c:spPr>
          <c:invertIfNegative val="0"/>
          <c:dPt>
            <c:idx val="0"/>
            <c:invertIfNegative val="0"/>
            <c:bubble3D val="0"/>
            <c:spPr>
              <a:solidFill>
                <a:srgbClr val="255E91"/>
              </a:solidFill>
              <a:ln>
                <a:noFill/>
              </a:ln>
              <a:effectLst/>
            </c:spPr>
            <c:extLst>
              <c:ext xmlns:c16="http://schemas.microsoft.com/office/drawing/2014/chart" uri="{C3380CC4-5D6E-409C-BE32-E72D297353CC}">
                <c16:uniqueId val="{00000000-9E60-42DD-BF75-AFD146C7EBB3}"/>
              </c:ext>
            </c:extLst>
          </c:dPt>
          <c:dPt>
            <c:idx val="1"/>
            <c:invertIfNegative val="0"/>
            <c:bubble3D val="0"/>
            <c:spPr>
              <a:solidFill>
                <a:srgbClr val="ED7D31"/>
              </a:solidFill>
              <a:ln>
                <a:noFill/>
              </a:ln>
              <a:effectLst/>
            </c:spPr>
            <c:extLst>
              <c:ext xmlns:c16="http://schemas.microsoft.com/office/drawing/2014/chart" uri="{C3380CC4-5D6E-409C-BE32-E72D297353CC}">
                <c16:uniqueId val="{00000001-9E60-42DD-BF75-AFD146C7EBB3}"/>
              </c:ext>
            </c:extLst>
          </c:dPt>
          <c:dPt>
            <c:idx val="2"/>
            <c:invertIfNegative val="0"/>
            <c:bubble3D val="0"/>
            <c:spPr>
              <a:solidFill>
                <a:srgbClr val="636363"/>
              </a:solidFill>
              <a:ln>
                <a:noFill/>
              </a:ln>
              <a:effectLst/>
            </c:spPr>
            <c:extLst>
              <c:ext xmlns:c16="http://schemas.microsoft.com/office/drawing/2014/chart" uri="{C3380CC4-5D6E-409C-BE32-E72D297353CC}">
                <c16:uniqueId val="{00000002-9E60-42DD-BF75-AFD146C7EBB3}"/>
              </c:ext>
            </c:extLst>
          </c:dPt>
          <c:dPt>
            <c:idx val="3"/>
            <c:invertIfNegative val="0"/>
            <c:bubble3D val="0"/>
            <c:spPr>
              <a:solidFill>
                <a:srgbClr val="9E480E"/>
              </a:solidFill>
              <a:ln>
                <a:noFill/>
              </a:ln>
              <a:effectLst/>
            </c:spPr>
            <c:extLst>
              <c:ext xmlns:c16="http://schemas.microsoft.com/office/drawing/2014/chart" uri="{C3380CC4-5D6E-409C-BE32-E72D297353CC}">
                <c16:uniqueId val="{00000003-9E60-42DD-BF75-AFD146C7EBB3}"/>
              </c:ext>
            </c:extLst>
          </c:dPt>
          <c:dPt>
            <c:idx val="4"/>
            <c:invertIfNegative val="0"/>
            <c:bubble3D val="0"/>
            <c:spPr>
              <a:solidFill>
                <a:srgbClr val="FFC000"/>
              </a:solidFill>
              <a:ln>
                <a:noFill/>
              </a:ln>
              <a:effectLst/>
            </c:spPr>
            <c:extLst>
              <c:ext xmlns:c16="http://schemas.microsoft.com/office/drawing/2014/chart" uri="{C3380CC4-5D6E-409C-BE32-E72D297353CC}">
                <c16:uniqueId val="{00000004-9E60-42DD-BF75-AFD146C7EBB3}"/>
              </c:ext>
            </c:extLst>
          </c:dPt>
          <c:dPt>
            <c:idx val="5"/>
            <c:invertIfNegative val="0"/>
            <c:bubble3D val="0"/>
            <c:spPr>
              <a:solidFill>
                <a:srgbClr val="70AD47"/>
              </a:solidFill>
              <a:ln>
                <a:noFill/>
              </a:ln>
              <a:effectLst/>
            </c:spPr>
            <c:extLst>
              <c:ext xmlns:c16="http://schemas.microsoft.com/office/drawing/2014/chart" uri="{C3380CC4-5D6E-409C-BE32-E72D297353CC}">
                <c16:uniqueId val="{00000005-9E60-42DD-BF75-AFD146C7EBB3}"/>
              </c:ext>
            </c:extLst>
          </c:dPt>
          <c:dLbls>
            <c:dLbl>
              <c:idx val="0"/>
              <c:layout>
                <c:manualLayout>
                  <c:x val="0"/>
                  <c:y val="-5.092592592592592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E60-42DD-BF75-AFD146C7EBB3}"/>
                </c:ext>
              </c:extLst>
            </c:dLbl>
            <c:dLbl>
              <c:idx val="1"/>
              <c:layout>
                <c:manualLayout>
                  <c:x val="-5.0925337632079971E-17"/>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E60-42DD-BF75-AFD146C7EBB3}"/>
                </c:ext>
              </c:extLst>
            </c:dLbl>
            <c:dLbl>
              <c:idx val="2"/>
              <c:layout>
                <c:manualLayout>
                  <c:x val="-5.0925337632079971E-17"/>
                  <c:y val="-6.018518518518527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E60-42DD-BF75-AFD146C7EBB3}"/>
                </c:ext>
              </c:extLst>
            </c:dLbl>
            <c:dLbl>
              <c:idx val="3"/>
              <c:layout>
                <c:manualLayout>
                  <c:x val="0"/>
                  <c:y val="-5.092592592592594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E60-42DD-BF75-AFD146C7EBB3}"/>
                </c:ext>
              </c:extLst>
            </c:dLbl>
            <c:dLbl>
              <c:idx val="4"/>
              <c:layout>
                <c:manualLayout>
                  <c:x val="-1.0185067526415994E-16"/>
                  <c:y val="-3.240740740740738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E60-42DD-BF75-AFD146C7EBB3}"/>
                </c:ext>
              </c:extLst>
            </c:dLbl>
            <c:dLbl>
              <c:idx val="5"/>
              <c:layout>
                <c:manualLayout>
                  <c:x val="0"/>
                  <c:y val="-5.555555555555555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E60-42DD-BF75-AFD146C7EBB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numRef>
              <c:f>report_data!$J$3:$J$8</c:f>
              <c:numCache>
                <c:formatCode>General</c:formatCode>
                <c:ptCount val="6"/>
                <c:pt idx="0">
                  <c:v>2014</c:v>
                </c:pt>
                <c:pt idx="1">
                  <c:v>2015</c:v>
                </c:pt>
                <c:pt idx="2">
                  <c:v>2016</c:v>
                </c:pt>
                <c:pt idx="3">
                  <c:v>2017</c:v>
                </c:pt>
                <c:pt idx="4">
                  <c:v>2018</c:v>
                </c:pt>
                <c:pt idx="5">
                  <c:v>2019</c:v>
                </c:pt>
              </c:numCache>
            </c:numRef>
          </c:cat>
          <c:val>
            <c:numRef>
              <c:f>report_data!$K$3:$K$8</c:f>
              <c:numCache>
                <c:formatCode>0.0%</c:formatCode>
                <c:ptCount val="6"/>
                <c:pt idx="0">
                  <c:v>0.94299999999999995</c:v>
                </c:pt>
                <c:pt idx="1">
                  <c:v>0.95699999999999996</c:v>
                </c:pt>
                <c:pt idx="2">
                  <c:v>0.92100000000000004</c:v>
                </c:pt>
                <c:pt idx="3">
                  <c:v>0.94899999999999995</c:v>
                </c:pt>
                <c:pt idx="4">
                  <c:v>0.96699999999999997</c:v>
                </c:pt>
                <c:pt idx="5">
                  <c:v>0.96199999999999997</c:v>
                </c:pt>
              </c:numCache>
            </c:numRef>
          </c:val>
          <c:extLst>
            <c:ext xmlns:c16="http://schemas.microsoft.com/office/drawing/2014/chart" uri="{C3380CC4-5D6E-409C-BE32-E72D297353CC}">
              <c16:uniqueId val="{00000006-9E60-42DD-BF75-AFD146C7EBB3}"/>
            </c:ext>
          </c:extLst>
        </c:ser>
        <c:dLbls>
          <c:dLblPos val="outEnd"/>
          <c:showLegendKey val="0"/>
          <c:showVal val="1"/>
          <c:showCatName val="0"/>
          <c:showSerName val="0"/>
          <c:showPercent val="0"/>
          <c:showBubbleSize val="0"/>
        </c:dLbls>
        <c:gapWidth val="219"/>
        <c:overlap val="-27"/>
        <c:axId val="488898128"/>
        <c:axId val="488894848"/>
      </c:barChart>
      <c:catAx>
        <c:axId val="488898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88894848"/>
        <c:crosses val="autoZero"/>
        <c:auto val="1"/>
        <c:lblAlgn val="ctr"/>
        <c:lblOffset val="100"/>
        <c:noMultiLvlLbl val="0"/>
      </c:catAx>
      <c:valAx>
        <c:axId val="488894848"/>
        <c:scaling>
          <c:orientation val="minMax"/>
        </c:scaling>
        <c:delete val="0"/>
        <c:axPos val="l"/>
        <c:title>
          <c:tx>
            <c:rich>
              <a:bodyPr rot="-54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r>
                  <a:rPr lang="en-US" sz="700" b="0" i="0" baseline="0">
                    <a:solidFill>
                      <a:sysClr val="windowText" lastClr="000000"/>
                    </a:solidFill>
                    <a:effectLst/>
                  </a:rPr>
                  <a:t>Percent (%) of Patients</a:t>
                </a:r>
                <a:endParaRPr lang="en-US" sz="700">
                  <a:solidFill>
                    <a:sysClr val="windowText" lastClr="000000"/>
                  </a:solidFill>
                  <a:effectLst/>
                </a:endParaRPr>
              </a:p>
            </c:rich>
          </c:tx>
          <c:layout>
            <c:manualLayout>
              <c:xMode val="edge"/>
              <c:yMode val="edge"/>
              <c:x val="2.1700978902640271E-2"/>
              <c:y val="0.15711166290935624"/>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488898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81437033297924"/>
          <c:y val="0.10305483989694517"/>
          <c:w val="0.85045920144937637"/>
          <c:h val="0.71558463280325257"/>
        </c:manualLayout>
      </c:layout>
      <c:barChart>
        <c:barDir val="col"/>
        <c:grouping val="clustered"/>
        <c:varyColors val="0"/>
        <c:ser>
          <c:idx val="0"/>
          <c:order val="0"/>
          <c:spPr>
            <a:solidFill>
              <a:schemeClr val="accent5">
                <a:lumMod val="75000"/>
              </a:schemeClr>
            </a:solidFill>
            <a:ln>
              <a:noFill/>
            </a:ln>
            <a:effectLst/>
          </c:spPr>
          <c:invertIfNegative val="0"/>
          <c:dPt>
            <c:idx val="0"/>
            <c:invertIfNegative val="0"/>
            <c:bubble3D val="0"/>
            <c:spPr>
              <a:solidFill>
                <a:srgbClr val="255E91"/>
              </a:solidFill>
              <a:ln>
                <a:noFill/>
              </a:ln>
              <a:effectLst/>
            </c:spPr>
            <c:extLst>
              <c:ext xmlns:c16="http://schemas.microsoft.com/office/drawing/2014/chart" uri="{C3380CC4-5D6E-409C-BE32-E72D297353CC}">
                <c16:uniqueId val="{00000001-C158-49D8-B6B2-5A3B231A7260}"/>
              </c:ext>
            </c:extLst>
          </c:dPt>
          <c:dPt>
            <c:idx val="1"/>
            <c:invertIfNegative val="0"/>
            <c:bubble3D val="0"/>
            <c:spPr>
              <a:solidFill>
                <a:srgbClr val="ED7D31"/>
              </a:solidFill>
              <a:ln>
                <a:noFill/>
              </a:ln>
              <a:effectLst/>
            </c:spPr>
            <c:extLst>
              <c:ext xmlns:c16="http://schemas.microsoft.com/office/drawing/2014/chart" uri="{C3380CC4-5D6E-409C-BE32-E72D297353CC}">
                <c16:uniqueId val="{00000003-C158-49D8-B6B2-5A3B231A7260}"/>
              </c:ext>
            </c:extLst>
          </c:dPt>
          <c:dPt>
            <c:idx val="2"/>
            <c:invertIfNegative val="0"/>
            <c:bubble3D val="0"/>
            <c:spPr>
              <a:solidFill>
                <a:srgbClr val="636363"/>
              </a:solidFill>
              <a:ln>
                <a:noFill/>
              </a:ln>
              <a:effectLst/>
            </c:spPr>
            <c:extLst>
              <c:ext xmlns:c16="http://schemas.microsoft.com/office/drawing/2014/chart" uri="{C3380CC4-5D6E-409C-BE32-E72D297353CC}">
                <c16:uniqueId val="{00000005-C158-49D8-B6B2-5A3B231A7260}"/>
              </c:ext>
            </c:extLst>
          </c:dPt>
          <c:dPt>
            <c:idx val="3"/>
            <c:invertIfNegative val="0"/>
            <c:bubble3D val="0"/>
            <c:spPr>
              <a:solidFill>
                <a:srgbClr val="9E480E"/>
              </a:solidFill>
              <a:ln>
                <a:noFill/>
              </a:ln>
              <a:effectLst/>
            </c:spPr>
            <c:extLst>
              <c:ext xmlns:c16="http://schemas.microsoft.com/office/drawing/2014/chart" uri="{C3380CC4-5D6E-409C-BE32-E72D297353CC}">
                <c16:uniqueId val="{00000007-C158-49D8-B6B2-5A3B231A7260}"/>
              </c:ext>
            </c:extLst>
          </c:dPt>
          <c:dPt>
            <c:idx val="4"/>
            <c:invertIfNegative val="0"/>
            <c:bubble3D val="0"/>
            <c:spPr>
              <a:solidFill>
                <a:srgbClr val="FFC000"/>
              </a:solidFill>
              <a:ln>
                <a:noFill/>
              </a:ln>
              <a:effectLst/>
            </c:spPr>
            <c:extLst>
              <c:ext xmlns:c16="http://schemas.microsoft.com/office/drawing/2014/chart" uri="{C3380CC4-5D6E-409C-BE32-E72D297353CC}">
                <c16:uniqueId val="{00000009-C158-49D8-B6B2-5A3B231A7260}"/>
              </c:ext>
            </c:extLst>
          </c:dPt>
          <c:dPt>
            <c:idx val="5"/>
            <c:invertIfNegative val="0"/>
            <c:bubble3D val="0"/>
            <c:spPr>
              <a:solidFill>
                <a:srgbClr val="70AD47"/>
              </a:solidFill>
              <a:ln>
                <a:noFill/>
              </a:ln>
              <a:effectLst/>
            </c:spPr>
            <c:extLst>
              <c:ext xmlns:c16="http://schemas.microsoft.com/office/drawing/2014/chart" uri="{C3380CC4-5D6E-409C-BE32-E72D297353CC}">
                <c16:uniqueId val="{0000000B-C158-49D8-B6B2-5A3B231A7260}"/>
              </c:ext>
            </c:extLst>
          </c:dPt>
          <c:dLbls>
            <c:dLbl>
              <c:idx val="0"/>
              <c:layout>
                <c:manualLayout>
                  <c:x val="-2.3692325597762716E-17"/>
                  <c:y val="-3.680529996319471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158-49D8-B6B2-5A3B231A7260}"/>
                </c:ext>
              </c:extLst>
            </c:dLbl>
            <c:dLbl>
              <c:idx val="1"/>
              <c:layout>
                <c:manualLayout>
                  <c:x val="0"/>
                  <c:y val="-2.208317997791683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158-49D8-B6B2-5A3B231A7260}"/>
                </c:ext>
              </c:extLst>
            </c:dLbl>
            <c:dLbl>
              <c:idx val="2"/>
              <c:layout>
                <c:manualLayout>
                  <c:x val="-9.4769302391050864E-17"/>
                  <c:y val="-2.94442399705558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158-49D8-B6B2-5A3B231A7260}"/>
                </c:ext>
              </c:extLst>
            </c:dLbl>
            <c:dLbl>
              <c:idx val="3"/>
              <c:layout>
                <c:manualLayout>
                  <c:x val="0"/>
                  <c:y val="-2.208317997791681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158-49D8-B6B2-5A3B231A7260}"/>
                </c:ext>
              </c:extLst>
            </c:dLbl>
            <c:dLbl>
              <c:idx val="4"/>
              <c:layout>
                <c:manualLayout>
                  <c:x val="-9.4769302391050864E-17"/>
                  <c:y val="-1.472211998527788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158-49D8-B6B2-5A3B231A7260}"/>
                </c:ext>
              </c:extLst>
            </c:dLbl>
            <c:dLbl>
              <c:idx val="5"/>
              <c:layout>
                <c:manualLayout>
                  <c:x val="0"/>
                  <c:y val="-4.41663599558337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158-49D8-B6B2-5A3B231A72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numRef>
              <c:f>report_data!$I$3:$I$8</c:f>
              <c:numCache>
                <c:formatCode>General</c:formatCode>
                <c:ptCount val="6"/>
                <c:pt idx="0">
                  <c:v>2014</c:v>
                </c:pt>
                <c:pt idx="1">
                  <c:v>2015</c:v>
                </c:pt>
                <c:pt idx="2">
                  <c:v>2016</c:v>
                </c:pt>
                <c:pt idx="3">
                  <c:v>2017</c:v>
                </c:pt>
                <c:pt idx="4">
                  <c:v>2018</c:v>
                </c:pt>
                <c:pt idx="5">
                  <c:v>2019</c:v>
                </c:pt>
              </c:numCache>
            </c:numRef>
          </c:cat>
          <c:val>
            <c:numRef>
              <c:f>report_data!$J$3:$J$8</c:f>
              <c:numCache>
                <c:formatCode>0.0%</c:formatCode>
                <c:ptCount val="6"/>
                <c:pt idx="0">
                  <c:v>0.97099999999999997</c:v>
                </c:pt>
                <c:pt idx="1">
                  <c:v>0.96899999999999997</c:v>
                </c:pt>
                <c:pt idx="2">
                  <c:v>0.95699999999999996</c:v>
                </c:pt>
                <c:pt idx="3">
                  <c:v>0.95699999999999996</c:v>
                </c:pt>
                <c:pt idx="4">
                  <c:v>0.95899999999999996</c:v>
                </c:pt>
                <c:pt idx="5">
                  <c:v>0.95599999999999996</c:v>
                </c:pt>
              </c:numCache>
            </c:numRef>
          </c:val>
          <c:extLst>
            <c:ext xmlns:c16="http://schemas.microsoft.com/office/drawing/2014/chart" uri="{C3380CC4-5D6E-409C-BE32-E72D297353CC}">
              <c16:uniqueId val="{0000000C-C158-49D8-B6B2-5A3B231A7260}"/>
            </c:ext>
          </c:extLst>
        </c:ser>
        <c:dLbls>
          <c:dLblPos val="outEnd"/>
          <c:showLegendKey val="0"/>
          <c:showVal val="1"/>
          <c:showCatName val="0"/>
          <c:showSerName val="0"/>
          <c:showPercent val="0"/>
          <c:showBubbleSize val="0"/>
        </c:dLbls>
        <c:gapWidth val="219"/>
        <c:overlap val="-27"/>
        <c:axId val="501025320"/>
        <c:axId val="501018104"/>
      </c:barChart>
      <c:catAx>
        <c:axId val="501025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01018104"/>
        <c:crosses val="autoZero"/>
        <c:auto val="1"/>
        <c:lblAlgn val="ctr"/>
        <c:lblOffset val="100"/>
        <c:noMultiLvlLbl val="0"/>
      </c:catAx>
      <c:valAx>
        <c:axId val="501018104"/>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sz="900">
                    <a:solidFill>
                      <a:sysClr val="windowText" lastClr="000000"/>
                    </a:solidFill>
                  </a:rPr>
                  <a:t>Percent (%) of Patients</a:t>
                </a:r>
              </a:p>
            </c:rich>
          </c:tx>
          <c:layout>
            <c:manualLayout>
              <c:xMode val="edge"/>
              <c:yMode val="edge"/>
              <c:x val="1.9581562260469653E-2"/>
              <c:y val="0.13278135043572256"/>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501025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93612578263108"/>
          <c:y val="8.6992749668667657E-2"/>
          <c:w val="0.81464055676168046"/>
          <c:h val="0.68942411610313403"/>
        </c:manualLayout>
      </c:layout>
      <c:barChart>
        <c:barDir val="col"/>
        <c:grouping val="clustered"/>
        <c:varyColors val="0"/>
        <c:ser>
          <c:idx val="0"/>
          <c:order val="0"/>
          <c:spPr>
            <a:solidFill>
              <a:schemeClr val="accent5">
                <a:lumMod val="75000"/>
              </a:schemeClr>
            </a:solidFill>
            <a:ln>
              <a:noFill/>
            </a:ln>
            <a:effectLst/>
          </c:spPr>
          <c:invertIfNegative val="0"/>
          <c:dPt>
            <c:idx val="0"/>
            <c:invertIfNegative val="0"/>
            <c:bubble3D val="0"/>
            <c:spPr>
              <a:solidFill>
                <a:srgbClr val="255E91"/>
              </a:solidFill>
              <a:ln>
                <a:noFill/>
              </a:ln>
              <a:effectLst/>
            </c:spPr>
            <c:extLst>
              <c:ext xmlns:c16="http://schemas.microsoft.com/office/drawing/2014/chart" uri="{C3380CC4-5D6E-409C-BE32-E72D297353CC}">
                <c16:uniqueId val="{00000007-82C9-4BC3-A9AC-72286BC425D8}"/>
              </c:ext>
            </c:extLst>
          </c:dPt>
          <c:dPt>
            <c:idx val="1"/>
            <c:invertIfNegative val="0"/>
            <c:bubble3D val="0"/>
            <c:spPr>
              <a:solidFill>
                <a:srgbClr val="ED7D31"/>
              </a:solidFill>
              <a:ln>
                <a:noFill/>
              </a:ln>
              <a:effectLst/>
            </c:spPr>
            <c:extLst>
              <c:ext xmlns:c16="http://schemas.microsoft.com/office/drawing/2014/chart" uri="{C3380CC4-5D6E-409C-BE32-E72D297353CC}">
                <c16:uniqueId val="{00000006-82C9-4BC3-A9AC-72286BC425D8}"/>
              </c:ext>
            </c:extLst>
          </c:dPt>
          <c:dPt>
            <c:idx val="2"/>
            <c:invertIfNegative val="0"/>
            <c:bubble3D val="0"/>
            <c:spPr>
              <a:solidFill>
                <a:srgbClr val="636363"/>
              </a:solidFill>
              <a:ln>
                <a:noFill/>
              </a:ln>
              <a:effectLst/>
            </c:spPr>
            <c:extLst>
              <c:ext xmlns:c16="http://schemas.microsoft.com/office/drawing/2014/chart" uri="{C3380CC4-5D6E-409C-BE32-E72D297353CC}">
                <c16:uniqueId val="{00000005-82C9-4BC3-A9AC-72286BC425D8}"/>
              </c:ext>
            </c:extLst>
          </c:dPt>
          <c:dPt>
            <c:idx val="3"/>
            <c:invertIfNegative val="0"/>
            <c:bubble3D val="0"/>
            <c:spPr>
              <a:solidFill>
                <a:srgbClr val="9E480E"/>
              </a:solidFill>
              <a:ln>
                <a:noFill/>
              </a:ln>
              <a:effectLst/>
            </c:spPr>
            <c:extLst>
              <c:ext xmlns:c16="http://schemas.microsoft.com/office/drawing/2014/chart" uri="{C3380CC4-5D6E-409C-BE32-E72D297353CC}">
                <c16:uniqueId val="{00000004-82C9-4BC3-A9AC-72286BC425D8}"/>
              </c:ext>
            </c:extLst>
          </c:dPt>
          <c:dPt>
            <c:idx val="4"/>
            <c:invertIfNegative val="0"/>
            <c:bubble3D val="0"/>
            <c:spPr>
              <a:solidFill>
                <a:srgbClr val="FFC000"/>
              </a:solidFill>
              <a:ln>
                <a:noFill/>
              </a:ln>
              <a:effectLst/>
            </c:spPr>
            <c:extLst>
              <c:ext xmlns:c16="http://schemas.microsoft.com/office/drawing/2014/chart" uri="{C3380CC4-5D6E-409C-BE32-E72D297353CC}">
                <c16:uniqueId val="{00000001-D181-4A94-8919-3E82E9394F78}"/>
              </c:ext>
            </c:extLst>
          </c:dPt>
          <c:dPt>
            <c:idx val="5"/>
            <c:invertIfNegative val="0"/>
            <c:bubble3D val="0"/>
            <c:spPr>
              <a:solidFill>
                <a:srgbClr val="70AD47"/>
              </a:solidFill>
              <a:ln>
                <a:noFill/>
              </a:ln>
              <a:effectLst/>
            </c:spPr>
            <c:extLst>
              <c:ext xmlns:c16="http://schemas.microsoft.com/office/drawing/2014/chart" uri="{C3380CC4-5D6E-409C-BE32-E72D297353CC}">
                <c16:uniqueId val="{00000000-D181-4A94-8919-3E82E9394F78}"/>
              </c:ext>
            </c:extLst>
          </c:dPt>
          <c:dLbls>
            <c:dLbl>
              <c:idx val="3"/>
              <c:layout>
                <c:manualLayout>
                  <c:x val="2.2155754957349358E-3"/>
                  <c:y val="-2.2689506865778206E-1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2C9-4BC3-A9AC-72286BC425D8}"/>
                </c:ext>
              </c:extLst>
            </c:dLbl>
            <c:dLbl>
              <c:idx val="4"/>
              <c:layout>
                <c:manualLayout>
                  <c:x val="4.4311509914698715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181-4A94-8919-3E82E9394F78}"/>
                </c:ext>
              </c:extLst>
            </c:dLbl>
            <c:dLbl>
              <c:idx val="5"/>
              <c:layout>
                <c:manualLayout>
                  <c:x val="2.2155754957350173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181-4A94-8919-3E82E9394F7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report_data!$I$2:$I$7</c:f>
              <c:strCache>
                <c:ptCount val="6"/>
                <c:pt idx="0">
                  <c:v>2014</c:v>
                </c:pt>
                <c:pt idx="1">
                  <c:v>2015</c:v>
                </c:pt>
                <c:pt idx="2">
                  <c:v>2016</c:v>
                </c:pt>
                <c:pt idx="3">
                  <c:v>2017</c:v>
                </c:pt>
                <c:pt idx="4">
                  <c:v>2018</c:v>
                </c:pt>
                <c:pt idx="5">
                  <c:v>2019</c:v>
                </c:pt>
              </c:strCache>
            </c:strRef>
          </c:cat>
          <c:val>
            <c:numRef>
              <c:f>report_data!$J$2:$J$7</c:f>
              <c:numCache>
                <c:formatCode>0.0%</c:formatCode>
                <c:ptCount val="6"/>
                <c:pt idx="0">
                  <c:v>0.53500000000000003</c:v>
                </c:pt>
                <c:pt idx="1">
                  <c:v>0.71399999999999997</c:v>
                </c:pt>
                <c:pt idx="2">
                  <c:v>0.82</c:v>
                </c:pt>
                <c:pt idx="3">
                  <c:v>0.82899999999999996</c:v>
                </c:pt>
                <c:pt idx="4">
                  <c:v>0.85199999999999998</c:v>
                </c:pt>
                <c:pt idx="5">
                  <c:v>0.88600000000000001</c:v>
                </c:pt>
              </c:numCache>
            </c:numRef>
          </c:val>
          <c:extLst>
            <c:ext xmlns:c16="http://schemas.microsoft.com/office/drawing/2014/chart" uri="{C3380CC4-5D6E-409C-BE32-E72D297353CC}">
              <c16:uniqueId val="{00000000-DC7F-490B-AB0D-EDB17E1D4A4C}"/>
            </c:ext>
          </c:extLst>
        </c:ser>
        <c:dLbls>
          <c:dLblPos val="outEnd"/>
          <c:showLegendKey val="0"/>
          <c:showVal val="1"/>
          <c:showCatName val="0"/>
          <c:showSerName val="0"/>
          <c:showPercent val="0"/>
          <c:showBubbleSize val="0"/>
        </c:dLbls>
        <c:gapWidth val="219"/>
        <c:overlap val="-27"/>
        <c:axId val="1013750920"/>
        <c:axId val="1013753216"/>
      </c:barChart>
      <c:catAx>
        <c:axId val="1013750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13753216"/>
        <c:crosses val="autoZero"/>
        <c:auto val="1"/>
        <c:lblAlgn val="ctr"/>
        <c:lblOffset val="100"/>
        <c:noMultiLvlLbl val="0"/>
      </c:catAx>
      <c:valAx>
        <c:axId val="1013753216"/>
        <c:scaling>
          <c:orientation val="minMax"/>
          <c:max val="0.9"/>
          <c:min val="0"/>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ysClr val="windowText" lastClr="000000"/>
                    </a:solidFill>
                  </a:rPr>
                  <a:t>Percent (%) of Patients</a:t>
                </a:r>
              </a:p>
            </c:rich>
          </c:tx>
          <c:layout>
            <c:manualLayout>
              <c:xMode val="edge"/>
              <c:yMode val="edge"/>
              <c:x val="3.6831936386815055E-2"/>
              <c:y val="0.12368550606273603"/>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1013750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659116348923715"/>
          <c:y val="6.3859304606542572E-2"/>
          <c:w val="0.73949446772928562"/>
          <c:h val="0.35355827669830242"/>
        </c:manualLayout>
      </c:layout>
      <c:barChart>
        <c:barDir val="col"/>
        <c:grouping val="clustered"/>
        <c:varyColors val="0"/>
        <c:ser>
          <c:idx val="0"/>
          <c:order val="0"/>
          <c:tx>
            <c:strRef>
              <c:f>report_data!$C$15</c:f>
              <c:strCache>
                <c:ptCount val="1"/>
                <c:pt idx="0">
                  <c:v>EMS from Home</c:v>
                </c:pt>
              </c:strCache>
            </c:strRef>
          </c:tx>
          <c:spPr>
            <a:solidFill>
              <a:srgbClr val="255E9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report_data!$B$16:$B$21</c:f>
              <c:strCache>
                <c:ptCount val="6"/>
                <c:pt idx="0">
                  <c:v>2014</c:v>
                </c:pt>
                <c:pt idx="1">
                  <c:v>2015</c:v>
                </c:pt>
                <c:pt idx="2">
                  <c:v>2016</c:v>
                </c:pt>
                <c:pt idx="3">
                  <c:v>2017</c:v>
                </c:pt>
                <c:pt idx="4">
                  <c:v>2018</c:v>
                </c:pt>
                <c:pt idx="5">
                  <c:v>2019</c:v>
                </c:pt>
              </c:strCache>
            </c:strRef>
          </c:cat>
          <c:val>
            <c:numRef>
              <c:f>report_data!$C$16:$C$21</c:f>
              <c:numCache>
                <c:formatCode>0.0%</c:formatCode>
                <c:ptCount val="6"/>
                <c:pt idx="0">
                  <c:v>0.495</c:v>
                </c:pt>
                <c:pt idx="1">
                  <c:v>0.497</c:v>
                </c:pt>
                <c:pt idx="2">
                  <c:v>0.503</c:v>
                </c:pt>
                <c:pt idx="3">
                  <c:v>0.496</c:v>
                </c:pt>
                <c:pt idx="4">
                  <c:v>0.46899999999999997</c:v>
                </c:pt>
                <c:pt idx="5">
                  <c:v>0.48399999999999999</c:v>
                </c:pt>
              </c:numCache>
            </c:numRef>
          </c:val>
          <c:extLst>
            <c:ext xmlns:c16="http://schemas.microsoft.com/office/drawing/2014/chart" uri="{C3380CC4-5D6E-409C-BE32-E72D297353CC}">
              <c16:uniqueId val="{00000000-F6DA-49DA-8769-74C301CA463E}"/>
            </c:ext>
          </c:extLst>
        </c:ser>
        <c:ser>
          <c:idx val="1"/>
          <c:order val="1"/>
          <c:tx>
            <c:strRef>
              <c:f>report_data!$D$15</c:f>
              <c:strCache>
                <c:ptCount val="1"/>
                <c:pt idx="0">
                  <c:v>Private Transport</c:v>
                </c:pt>
              </c:strCache>
            </c:strRef>
          </c:tx>
          <c:spPr>
            <a:solidFill>
              <a:srgbClr val="ED7D3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report_data!$B$16:$B$21</c:f>
              <c:strCache>
                <c:ptCount val="6"/>
                <c:pt idx="0">
                  <c:v>2014</c:v>
                </c:pt>
                <c:pt idx="1">
                  <c:v>2015</c:v>
                </c:pt>
                <c:pt idx="2">
                  <c:v>2016</c:v>
                </c:pt>
                <c:pt idx="3">
                  <c:v>2017</c:v>
                </c:pt>
                <c:pt idx="4">
                  <c:v>2018</c:v>
                </c:pt>
                <c:pt idx="5">
                  <c:v>2019</c:v>
                </c:pt>
              </c:strCache>
            </c:strRef>
          </c:cat>
          <c:val>
            <c:numRef>
              <c:f>report_data!$D$16:$D$21</c:f>
              <c:numCache>
                <c:formatCode>0.0%</c:formatCode>
                <c:ptCount val="6"/>
                <c:pt idx="0">
                  <c:v>0.33800000000000002</c:v>
                </c:pt>
                <c:pt idx="1">
                  <c:v>0.34300000000000003</c:v>
                </c:pt>
                <c:pt idx="2">
                  <c:v>0.316</c:v>
                </c:pt>
                <c:pt idx="3">
                  <c:v>0.312</c:v>
                </c:pt>
                <c:pt idx="4">
                  <c:v>0.31</c:v>
                </c:pt>
                <c:pt idx="5">
                  <c:v>0.314</c:v>
                </c:pt>
              </c:numCache>
            </c:numRef>
          </c:val>
          <c:extLst>
            <c:ext xmlns:c16="http://schemas.microsoft.com/office/drawing/2014/chart" uri="{C3380CC4-5D6E-409C-BE32-E72D297353CC}">
              <c16:uniqueId val="{00000001-F6DA-49DA-8769-74C301CA463E}"/>
            </c:ext>
          </c:extLst>
        </c:ser>
        <c:ser>
          <c:idx val="2"/>
          <c:order val="2"/>
          <c:tx>
            <c:strRef>
              <c:f>report_data!$E$15</c:f>
              <c:strCache>
                <c:ptCount val="1"/>
                <c:pt idx="0">
                  <c:v>Transfer from other Hospital</c:v>
                </c:pt>
              </c:strCache>
            </c:strRef>
          </c:tx>
          <c:spPr>
            <a:solidFill>
              <a:srgbClr val="70AD47"/>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report_data!$B$16:$B$21</c:f>
              <c:strCache>
                <c:ptCount val="6"/>
                <c:pt idx="0">
                  <c:v>2014</c:v>
                </c:pt>
                <c:pt idx="1">
                  <c:v>2015</c:v>
                </c:pt>
                <c:pt idx="2">
                  <c:v>2016</c:v>
                </c:pt>
                <c:pt idx="3">
                  <c:v>2017</c:v>
                </c:pt>
                <c:pt idx="4">
                  <c:v>2018</c:v>
                </c:pt>
                <c:pt idx="5">
                  <c:v>2019</c:v>
                </c:pt>
              </c:strCache>
            </c:strRef>
          </c:cat>
          <c:val>
            <c:numRef>
              <c:f>report_data!$E$16:$E$21</c:f>
              <c:numCache>
                <c:formatCode>0.0%</c:formatCode>
                <c:ptCount val="6"/>
                <c:pt idx="0">
                  <c:v>0.13700000000000001</c:v>
                </c:pt>
                <c:pt idx="1">
                  <c:v>0.151</c:v>
                </c:pt>
                <c:pt idx="2">
                  <c:v>0.17899999999999999</c:v>
                </c:pt>
                <c:pt idx="3">
                  <c:v>0.191</c:v>
                </c:pt>
                <c:pt idx="4">
                  <c:v>0.214</c:v>
                </c:pt>
                <c:pt idx="5">
                  <c:v>0.18099999999999999</c:v>
                </c:pt>
              </c:numCache>
            </c:numRef>
          </c:val>
          <c:extLst>
            <c:ext xmlns:c16="http://schemas.microsoft.com/office/drawing/2014/chart" uri="{C3380CC4-5D6E-409C-BE32-E72D297353CC}">
              <c16:uniqueId val="{00000002-F6DA-49DA-8769-74C301CA463E}"/>
            </c:ext>
          </c:extLst>
        </c:ser>
        <c:ser>
          <c:idx val="3"/>
          <c:order val="3"/>
          <c:tx>
            <c:strRef>
              <c:f>report_data!$F$15</c:f>
              <c:strCache>
                <c:ptCount val="1"/>
                <c:pt idx="0">
                  <c:v>Unknown</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report_data!$B$16:$B$21</c:f>
              <c:strCache>
                <c:ptCount val="6"/>
                <c:pt idx="0">
                  <c:v>2014</c:v>
                </c:pt>
                <c:pt idx="1">
                  <c:v>2015</c:v>
                </c:pt>
                <c:pt idx="2">
                  <c:v>2016</c:v>
                </c:pt>
                <c:pt idx="3">
                  <c:v>2017</c:v>
                </c:pt>
                <c:pt idx="4">
                  <c:v>2018</c:v>
                </c:pt>
                <c:pt idx="5">
                  <c:v>2019</c:v>
                </c:pt>
              </c:strCache>
            </c:strRef>
          </c:cat>
          <c:val>
            <c:numRef>
              <c:f>report_data!$F$16:$F$21</c:f>
              <c:numCache>
                <c:formatCode>0.0%</c:formatCode>
                <c:ptCount val="6"/>
                <c:pt idx="0">
                  <c:v>3.0000000000000001E-3</c:v>
                </c:pt>
                <c:pt idx="1">
                  <c:v>2E-3</c:v>
                </c:pt>
                <c:pt idx="2">
                  <c:v>2E-3</c:v>
                </c:pt>
                <c:pt idx="3">
                  <c:v>1E-3</c:v>
                </c:pt>
                <c:pt idx="4">
                  <c:v>3.0000000000000001E-3</c:v>
                </c:pt>
                <c:pt idx="5">
                  <c:v>3.0000000000000001E-3</c:v>
                </c:pt>
              </c:numCache>
            </c:numRef>
          </c:val>
          <c:extLst>
            <c:ext xmlns:c16="http://schemas.microsoft.com/office/drawing/2014/chart" uri="{C3380CC4-5D6E-409C-BE32-E72D297353CC}">
              <c16:uniqueId val="{00000003-F6DA-49DA-8769-74C301CA463E}"/>
            </c:ext>
          </c:extLst>
        </c:ser>
        <c:ser>
          <c:idx val="4"/>
          <c:order val="4"/>
          <c:tx>
            <c:strRef>
              <c:f>report_data!$G$15</c:f>
              <c:strCache>
                <c:ptCount val="1"/>
                <c:pt idx="0">
                  <c:v>Missing Arrival Information</c:v>
                </c:pt>
              </c:strCache>
            </c:strRef>
          </c:tx>
          <c:spPr>
            <a:solidFill>
              <a:srgbClr val="FF0000"/>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report_data!$B$16:$B$21</c:f>
              <c:strCache>
                <c:ptCount val="6"/>
                <c:pt idx="0">
                  <c:v>2014</c:v>
                </c:pt>
                <c:pt idx="1">
                  <c:v>2015</c:v>
                </c:pt>
                <c:pt idx="2">
                  <c:v>2016</c:v>
                </c:pt>
                <c:pt idx="3">
                  <c:v>2017</c:v>
                </c:pt>
                <c:pt idx="4">
                  <c:v>2018</c:v>
                </c:pt>
                <c:pt idx="5">
                  <c:v>2019</c:v>
                </c:pt>
              </c:strCache>
            </c:strRef>
          </c:cat>
          <c:val>
            <c:numRef>
              <c:f>report_data!$G$16:$G$21</c:f>
              <c:numCache>
                <c:formatCode>0.0%</c:formatCode>
                <c:ptCount val="6"/>
                <c:pt idx="0">
                  <c:v>2.7E-2</c:v>
                </c:pt>
                <c:pt idx="1">
                  <c:v>7.0000000000000001E-3</c:v>
                </c:pt>
                <c:pt idx="2">
                  <c:v>0</c:v>
                </c:pt>
                <c:pt idx="3">
                  <c:v>0</c:v>
                </c:pt>
                <c:pt idx="4">
                  <c:v>4.0000000000000001E-3</c:v>
                </c:pt>
                <c:pt idx="5">
                  <c:v>1.7999999999999999E-2</c:v>
                </c:pt>
              </c:numCache>
            </c:numRef>
          </c:val>
          <c:extLst>
            <c:ext xmlns:c16="http://schemas.microsoft.com/office/drawing/2014/chart" uri="{C3380CC4-5D6E-409C-BE32-E72D297353CC}">
              <c16:uniqueId val="{00000004-F6DA-49DA-8769-74C301CA463E}"/>
            </c:ext>
          </c:extLst>
        </c:ser>
        <c:dLbls>
          <c:showLegendKey val="0"/>
          <c:showVal val="0"/>
          <c:showCatName val="0"/>
          <c:showSerName val="0"/>
          <c:showPercent val="0"/>
          <c:showBubbleSize val="0"/>
        </c:dLbls>
        <c:gapWidth val="219"/>
        <c:overlap val="-27"/>
        <c:axId val="749718680"/>
        <c:axId val="749714088"/>
      </c:barChart>
      <c:catAx>
        <c:axId val="749718680"/>
        <c:scaling>
          <c:orientation val="minMax"/>
        </c:scaling>
        <c:delete val="0"/>
        <c:axPos val="b"/>
        <c:numFmt formatCode="General" sourceLinked="1"/>
        <c:majorTickMark val="none"/>
        <c:minorTickMark val="none"/>
        <c:tickLblPos val="nextTo"/>
        <c:spPr>
          <a:solidFill>
            <a:srgbClr val="FF0000"/>
          </a:solid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49714088"/>
        <c:crosses val="autoZero"/>
        <c:auto val="1"/>
        <c:lblAlgn val="ctr"/>
        <c:lblOffset val="100"/>
        <c:noMultiLvlLbl val="0"/>
      </c:catAx>
      <c:valAx>
        <c:axId val="749714088"/>
        <c:scaling>
          <c:orientation val="minMax"/>
          <c:max val="0.52"/>
          <c:min val="-5.000000000000001E-2"/>
        </c:scaling>
        <c:delete val="0"/>
        <c:axPos val="l"/>
        <c:title>
          <c:tx>
            <c:rich>
              <a:bodyPr rot="-54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r>
                  <a:rPr lang="en-US" sz="700"/>
                  <a:t>Percent (%) of Patients </a:t>
                </a:r>
              </a:p>
            </c:rich>
          </c:tx>
          <c:layout>
            <c:manualLayout>
              <c:xMode val="edge"/>
              <c:yMode val="edge"/>
              <c:x val="0.12487516278427957"/>
              <c:y val="7.2542124410348185E-2"/>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7497186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rgbClr val="8C8C8C"/>
      </a:solidFill>
      <a:round/>
    </a:ln>
    <a:effectLst/>
  </c:spPr>
  <c:txPr>
    <a:bodyPr/>
    <a:lstStyle/>
    <a:p>
      <a:pPr>
        <a:defRPr>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34700707507392"/>
          <c:y val="0.1138760228500849"/>
          <c:w val="0.87308090272154115"/>
          <c:h val="0.60557871442540268"/>
        </c:manualLayout>
      </c:layout>
      <c:barChart>
        <c:barDir val="col"/>
        <c:grouping val="clustered"/>
        <c:varyColors val="0"/>
        <c:ser>
          <c:idx val="0"/>
          <c:order val="0"/>
          <c:tx>
            <c:strRef>
              <c:f>'F2'!$C$3</c:f>
              <c:strCache>
                <c:ptCount val="1"/>
                <c:pt idx="0">
                  <c:v>18-64 years</c:v>
                </c:pt>
              </c:strCache>
            </c:strRef>
          </c:tx>
          <c:spPr>
            <a:solidFill>
              <a:schemeClr val="accent1">
                <a:lumMod val="50000"/>
              </a:schemeClr>
            </a:solidFill>
            <a:ln>
              <a:noFill/>
            </a:ln>
            <a:effectLst/>
          </c:spPr>
          <c:invertIfNegative val="0"/>
          <c:dLbls>
            <c:dLbl>
              <c:idx val="0"/>
              <c:layout>
                <c:manualLayout>
                  <c:x val="-4.3967018793252379E-3"/>
                  <c:y val="-2.701398528299960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0E4-4B63-9928-707112E15A1C}"/>
                </c:ext>
              </c:extLst>
            </c:dLbl>
            <c:dLbl>
              <c:idx val="1"/>
              <c:layout>
                <c:manualLayout>
                  <c:x val="0"/>
                  <c:y val="-7.718281509428458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0E4-4B63-9928-707112E15A1C}"/>
                </c:ext>
              </c:extLst>
            </c:dLbl>
            <c:dLbl>
              <c:idx val="2"/>
              <c:layout>
                <c:manualLayout>
                  <c:x val="0"/>
                  <c:y val="-1.54365630188569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0E4-4B63-9928-707112E15A1C}"/>
                </c:ext>
              </c:extLst>
            </c:dLbl>
            <c:dLbl>
              <c:idx val="3"/>
              <c:layout>
                <c:manualLayout>
                  <c:x val="-8.0210533086579334E-17"/>
                  <c:y val="-1.543656301885705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0E4-4B63-9928-707112E15A1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'F2'!$G$4:$G$9</c:f>
                <c:numCache>
                  <c:formatCode>General</c:formatCode>
                  <c:ptCount val="6"/>
                  <c:pt idx="0">
                    <c:v>2.300000000000002E-2</c:v>
                  </c:pt>
                  <c:pt idx="1">
                    <c:v>1.1000000000000003E-2</c:v>
                  </c:pt>
                  <c:pt idx="2">
                    <c:v>1.8000000000000002E-2</c:v>
                  </c:pt>
                  <c:pt idx="3">
                    <c:v>1.4000000000000005E-2</c:v>
                  </c:pt>
                  <c:pt idx="4">
                    <c:v>9.0000000000000011E-3</c:v>
                  </c:pt>
                  <c:pt idx="5">
                    <c:v>6.9999999999999993E-3</c:v>
                  </c:pt>
                </c:numCache>
              </c:numRef>
            </c:plus>
            <c:minus>
              <c:numRef>
                <c:f>'F2'!$F$4:$F$9</c:f>
                <c:numCache>
                  <c:formatCode>General</c:formatCode>
                  <c:ptCount val="6"/>
                  <c:pt idx="0">
                    <c:v>2.1999999999999992E-2</c:v>
                  </c:pt>
                  <c:pt idx="1">
                    <c:v>1.2000000000000004E-2</c:v>
                  </c:pt>
                  <c:pt idx="2">
                    <c:v>1.4999999999999999E-2</c:v>
                  </c:pt>
                  <c:pt idx="3">
                    <c:v>1.2999999999999998E-2</c:v>
                  </c:pt>
                  <c:pt idx="4">
                    <c:v>9.0000000000000011E-3</c:v>
                  </c:pt>
                  <c:pt idx="5">
                    <c:v>8.0000000000000019E-3</c:v>
                  </c:pt>
                </c:numCache>
              </c:numRef>
            </c:minus>
            <c:spPr>
              <a:noFill/>
              <a:ln w="9525" cap="flat" cmpd="sng" algn="ctr">
                <a:solidFill>
                  <a:schemeClr val="tx1">
                    <a:lumMod val="65000"/>
                    <a:lumOff val="35000"/>
                  </a:schemeClr>
                </a:solidFill>
                <a:round/>
              </a:ln>
              <a:effectLst/>
            </c:spPr>
          </c:errBars>
          <c:cat>
            <c:strRef>
              <c:f>'F2'!$B$4:$B$9</c:f>
              <c:strCache>
                <c:ptCount val="6"/>
                <c:pt idx="0">
                  <c:v>Arthritis</c:v>
                </c:pt>
                <c:pt idx="1">
                  <c:v>Cancer</c:v>
                </c:pt>
                <c:pt idx="2">
                  <c:v>Diabetes</c:v>
                </c:pt>
                <c:pt idx="3">
                  <c:v>COPD</c:v>
                </c:pt>
                <c:pt idx="4">
                  <c:v>Heart Disease</c:v>
                </c:pt>
                <c:pt idx="5">
                  <c:v>Stroke</c:v>
                </c:pt>
              </c:strCache>
            </c:strRef>
          </c:cat>
          <c:val>
            <c:numRef>
              <c:f>'F2'!$C$4:$C$9</c:f>
              <c:numCache>
                <c:formatCode>0.0%</c:formatCode>
                <c:ptCount val="6"/>
                <c:pt idx="0">
                  <c:v>0.17899999999999999</c:v>
                </c:pt>
                <c:pt idx="1">
                  <c:v>5.6000000000000001E-2</c:v>
                </c:pt>
                <c:pt idx="2">
                  <c:v>7.6999999999999999E-2</c:v>
                </c:pt>
                <c:pt idx="3">
                  <c:v>5.0999999999999997E-2</c:v>
                </c:pt>
                <c:pt idx="4">
                  <c:v>2.4E-2</c:v>
                </c:pt>
                <c:pt idx="5">
                  <c:v>2.1000000000000001E-2</c:v>
                </c:pt>
              </c:numCache>
            </c:numRef>
          </c:val>
          <c:extLst>
            <c:ext xmlns:c16="http://schemas.microsoft.com/office/drawing/2014/chart" uri="{C3380CC4-5D6E-409C-BE32-E72D297353CC}">
              <c16:uniqueId val="{00000004-70E4-4B63-9928-707112E15A1C}"/>
            </c:ext>
          </c:extLst>
        </c:ser>
        <c:ser>
          <c:idx val="1"/>
          <c:order val="1"/>
          <c:tx>
            <c:strRef>
              <c:f>'F2'!$H$3</c:f>
              <c:strCache>
                <c:ptCount val="1"/>
                <c:pt idx="0">
                  <c:v>65+ years</c:v>
                </c:pt>
              </c:strCache>
            </c:strRef>
          </c:tx>
          <c:spPr>
            <a:solidFill>
              <a:srgbClr val="FFC000"/>
            </a:solidFill>
            <a:ln>
              <a:noFill/>
            </a:ln>
            <a:effectLst/>
          </c:spPr>
          <c:invertIfNegative val="0"/>
          <c:dLbls>
            <c:dLbl>
              <c:idx val="0"/>
              <c:layout>
                <c:manualLayout>
                  <c:x val="0"/>
                  <c:y val="-3.859140754714232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0E4-4B63-9928-707112E15A1C}"/>
                </c:ext>
              </c:extLst>
            </c:dLbl>
            <c:dLbl>
              <c:idx val="1"/>
              <c:layout>
                <c:manualLayout>
                  <c:x val="-4.29221418968702E-17"/>
                  <c:y val="-3.473226679242806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0E4-4B63-9928-707112E15A1C}"/>
                </c:ext>
              </c:extLst>
            </c:dLbl>
            <c:dLbl>
              <c:idx val="2"/>
              <c:layout>
                <c:manualLayout>
                  <c:x val="0"/>
                  <c:y val="-3.087312603771390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0E4-4B63-9928-707112E15A1C}"/>
                </c:ext>
              </c:extLst>
            </c:dLbl>
            <c:dLbl>
              <c:idx val="3"/>
              <c:layout>
                <c:manualLayout>
                  <c:x val="0"/>
                  <c:y val="-2.315484452828537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0E4-4B63-9928-707112E15A1C}"/>
                </c:ext>
              </c:extLst>
            </c:dLbl>
            <c:dLbl>
              <c:idx val="4"/>
              <c:layout>
                <c:manualLayout>
                  <c:x val="0"/>
                  <c:y val="-1.157742226414268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0E4-4B63-9928-707112E15A1C}"/>
                </c:ext>
              </c:extLst>
            </c:dLbl>
            <c:dLbl>
              <c:idx val="5"/>
              <c:layout>
                <c:manualLayout>
                  <c:x val="0"/>
                  <c:y val="-1.92957037735712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0E4-4B63-9928-707112E15A1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'F2'!$L$4:$L$9</c:f>
                <c:numCache>
                  <c:formatCode>General</c:formatCode>
                  <c:ptCount val="6"/>
                  <c:pt idx="0">
                    <c:v>4.6000000000000041E-2</c:v>
                  </c:pt>
                  <c:pt idx="1">
                    <c:v>4.1000000000000036E-2</c:v>
                  </c:pt>
                  <c:pt idx="2">
                    <c:v>3.999999999999998E-2</c:v>
                  </c:pt>
                  <c:pt idx="3">
                    <c:v>2.8999999999999998E-2</c:v>
                  </c:pt>
                  <c:pt idx="4">
                    <c:v>2.5000000000000008E-2</c:v>
                  </c:pt>
                  <c:pt idx="5">
                    <c:v>2.3000000000000007E-2</c:v>
                  </c:pt>
                </c:numCache>
              </c:numRef>
            </c:plus>
            <c:minus>
              <c:numRef>
                <c:f>'F2'!$K$4:$K$9</c:f>
                <c:numCache>
                  <c:formatCode>General</c:formatCode>
                  <c:ptCount val="6"/>
                  <c:pt idx="0">
                    <c:v>4.6999999999999986E-2</c:v>
                  </c:pt>
                  <c:pt idx="1">
                    <c:v>4.0999999999999981E-2</c:v>
                  </c:pt>
                  <c:pt idx="2">
                    <c:v>4.0000000000000008E-2</c:v>
                  </c:pt>
                  <c:pt idx="3">
                    <c:v>0.03</c:v>
                  </c:pt>
                  <c:pt idx="4">
                    <c:v>2.3999999999999994E-2</c:v>
                  </c:pt>
                  <c:pt idx="5">
                    <c:v>2.4E-2</c:v>
                  </c:pt>
                </c:numCache>
              </c:numRef>
            </c:minus>
            <c:spPr>
              <a:noFill/>
              <a:ln w="9525" cap="flat" cmpd="sng" algn="ctr">
                <a:solidFill>
                  <a:schemeClr val="tx1">
                    <a:lumMod val="65000"/>
                    <a:lumOff val="35000"/>
                  </a:schemeClr>
                </a:solidFill>
                <a:round/>
              </a:ln>
              <a:effectLst/>
            </c:spPr>
          </c:errBars>
          <c:cat>
            <c:strRef>
              <c:f>'F2'!$B$4:$B$9</c:f>
              <c:strCache>
                <c:ptCount val="6"/>
                <c:pt idx="0">
                  <c:v>Arthritis</c:v>
                </c:pt>
                <c:pt idx="1">
                  <c:v>Cancer</c:v>
                </c:pt>
                <c:pt idx="2">
                  <c:v>Diabetes</c:v>
                </c:pt>
                <c:pt idx="3">
                  <c:v>COPD</c:v>
                </c:pt>
                <c:pt idx="4">
                  <c:v>Heart Disease</c:v>
                </c:pt>
                <c:pt idx="5">
                  <c:v>Stroke</c:v>
                </c:pt>
              </c:strCache>
            </c:strRef>
          </c:cat>
          <c:val>
            <c:numRef>
              <c:f>'F2'!$H$4:$H$9</c:f>
              <c:numCache>
                <c:formatCode>0.0%</c:formatCode>
                <c:ptCount val="6"/>
                <c:pt idx="0">
                  <c:v>0.48699999999999999</c:v>
                </c:pt>
                <c:pt idx="1">
                  <c:v>0.30099999999999999</c:v>
                </c:pt>
                <c:pt idx="2">
                  <c:v>0.251</c:v>
                </c:pt>
                <c:pt idx="3">
                  <c:v>0.151</c:v>
                </c:pt>
                <c:pt idx="4">
                  <c:v>0.104</c:v>
                </c:pt>
                <c:pt idx="5">
                  <c:v>7.8E-2</c:v>
                </c:pt>
              </c:numCache>
            </c:numRef>
          </c:val>
          <c:extLst>
            <c:ext xmlns:c16="http://schemas.microsoft.com/office/drawing/2014/chart" uri="{C3380CC4-5D6E-409C-BE32-E72D297353CC}">
              <c16:uniqueId val="{0000000B-70E4-4B63-9928-707112E15A1C}"/>
            </c:ext>
          </c:extLst>
        </c:ser>
        <c:dLbls>
          <c:dLblPos val="outEnd"/>
          <c:showLegendKey val="0"/>
          <c:showVal val="1"/>
          <c:showCatName val="0"/>
          <c:showSerName val="0"/>
          <c:showPercent val="0"/>
          <c:showBubbleSize val="0"/>
        </c:dLbls>
        <c:gapWidth val="219"/>
        <c:overlap val="-27"/>
        <c:axId val="959559080"/>
        <c:axId val="959554160"/>
      </c:barChart>
      <c:catAx>
        <c:axId val="959559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59554160"/>
        <c:crosses val="autoZero"/>
        <c:auto val="1"/>
        <c:lblAlgn val="ctr"/>
        <c:lblOffset val="100"/>
        <c:noMultiLvlLbl val="0"/>
      </c:catAx>
      <c:valAx>
        <c:axId val="959554160"/>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US" sz="700">
                    <a:solidFill>
                      <a:sysClr val="windowText" lastClr="000000"/>
                    </a:solidFill>
                  </a:rPr>
                  <a:t>Percent (%)</a:t>
                </a:r>
                <a:r>
                  <a:rPr lang="en-US" sz="700" baseline="0">
                    <a:solidFill>
                      <a:sysClr val="windowText" lastClr="000000"/>
                    </a:solidFill>
                  </a:rPr>
                  <a:t> of Patients</a:t>
                </a:r>
                <a:endParaRPr lang="en-US" sz="700">
                  <a:solidFill>
                    <a:sysClr val="windowText" lastClr="000000"/>
                  </a:solidFill>
                </a:endParaRPr>
              </a:p>
            </c:rich>
          </c:tx>
          <c:layout>
            <c:manualLayout>
              <c:xMode val="edge"/>
              <c:yMode val="edge"/>
              <c:x val="2.0017941645176691E-2"/>
              <c:y val="0.12328587294258579"/>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959559080"/>
        <c:crosses val="autoZero"/>
        <c:crossBetween val="between"/>
      </c:valAx>
      <c:spPr>
        <a:noFill/>
        <a:ln>
          <a:noFill/>
        </a:ln>
        <a:effectLst/>
      </c:spPr>
    </c:plotArea>
    <c:legend>
      <c:legendPos val="b"/>
      <c:layout>
        <c:manualLayout>
          <c:xMode val="edge"/>
          <c:yMode val="edge"/>
          <c:x val="0.37166931987066576"/>
          <c:y val="0.89144240488164017"/>
          <c:w val="0.26945039162360218"/>
          <c:h val="9.9436584856163787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92227838760843"/>
          <c:y val="7.1533682630289155E-2"/>
          <c:w val="0.8727646404031294"/>
          <c:h val="0.55232959200179499"/>
        </c:manualLayout>
      </c:layout>
      <c:barChart>
        <c:barDir val="col"/>
        <c:grouping val="clustered"/>
        <c:varyColors val="0"/>
        <c:ser>
          <c:idx val="0"/>
          <c:order val="0"/>
          <c:tx>
            <c:strRef>
              <c:f>'F3'!$B$17</c:f>
              <c:strCache>
                <c:ptCount val="1"/>
                <c:pt idx="0">
                  <c:v>Nevada </c:v>
                </c:pt>
              </c:strCache>
            </c:strRef>
          </c:tx>
          <c:spPr>
            <a:solidFill>
              <a:schemeClr val="accent1">
                <a:lumMod val="50000"/>
              </a:schemeClr>
            </a:solidFill>
            <a:ln>
              <a:noFill/>
            </a:ln>
            <a:effectLst/>
          </c:spPr>
          <c:invertIfNegative val="0"/>
          <c:errBars>
            <c:errBarType val="both"/>
            <c:errValType val="cust"/>
            <c:noEndCap val="0"/>
            <c:plus>
              <c:numRef>
                <c:f>'F3'!$F$18:$F$30</c:f>
                <c:numCache>
                  <c:formatCode>General</c:formatCode>
                  <c:ptCount val="13"/>
                  <c:pt idx="0">
                    <c:v>7.0000000000000027E-3</c:v>
                  </c:pt>
                  <c:pt idx="1">
                    <c:v>5.9999999999999984E-3</c:v>
                  </c:pt>
                  <c:pt idx="2">
                    <c:v>4.0000000000000001E-3</c:v>
                  </c:pt>
                  <c:pt idx="3">
                    <c:v>5.9999999999999984E-3</c:v>
                  </c:pt>
                  <c:pt idx="4">
                    <c:v>6.9999999999999993E-3</c:v>
                  </c:pt>
                  <c:pt idx="5">
                    <c:v>8.0000000000000002E-3</c:v>
                  </c:pt>
                  <c:pt idx="6">
                    <c:v>6.9999999999999993E-3</c:v>
                  </c:pt>
                  <c:pt idx="7">
                    <c:v>6.0000000000000019E-3</c:v>
                  </c:pt>
                  <c:pt idx="8">
                    <c:v>6.9999999999999993E-3</c:v>
                  </c:pt>
                  <c:pt idx="9">
                    <c:v>6.9999999999999993E-3</c:v>
                  </c:pt>
                  <c:pt idx="10">
                    <c:v>6.9999999999999993E-3</c:v>
                  </c:pt>
                  <c:pt idx="11">
                    <c:v>8.0000000000000002E-3</c:v>
                  </c:pt>
                  <c:pt idx="12">
                    <c:v>4.0000000000000036E-3</c:v>
                  </c:pt>
                </c:numCache>
              </c:numRef>
            </c:plus>
            <c:minus>
              <c:numRef>
                <c:f>'F3'!$E$18:$E$30</c:f>
                <c:numCache>
                  <c:formatCode>General</c:formatCode>
                  <c:ptCount val="13"/>
                  <c:pt idx="0">
                    <c:v>6.9999999999999993E-3</c:v>
                  </c:pt>
                  <c:pt idx="1">
                    <c:v>6.0000000000000019E-3</c:v>
                  </c:pt>
                  <c:pt idx="2">
                    <c:v>4.9999999999999975E-3</c:v>
                  </c:pt>
                  <c:pt idx="3">
                    <c:v>5.000000000000001E-3</c:v>
                  </c:pt>
                  <c:pt idx="4">
                    <c:v>6.9999999999999993E-3</c:v>
                  </c:pt>
                  <c:pt idx="5">
                    <c:v>8.0000000000000002E-3</c:v>
                  </c:pt>
                  <c:pt idx="6">
                    <c:v>8.0000000000000002E-3</c:v>
                  </c:pt>
                  <c:pt idx="7">
                    <c:v>7.0000000000000027E-3</c:v>
                  </c:pt>
                  <c:pt idx="8">
                    <c:v>6.9999999999999993E-3</c:v>
                  </c:pt>
                  <c:pt idx="9">
                    <c:v>8.0000000000000002E-3</c:v>
                  </c:pt>
                  <c:pt idx="10">
                    <c:v>6.9999999999999993E-3</c:v>
                  </c:pt>
                  <c:pt idx="11">
                    <c:v>6.9999999999999993E-3</c:v>
                  </c:pt>
                  <c:pt idx="12">
                    <c:v>2.9999999999999992E-3</c:v>
                  </c:pt>
                </c:numCache>
              </c:numRef>
            </c:minus>
            <c:spPr>
              <a:noFill/>
              <a:ln w="9525" cap="flat" cmpd="sng" algn="ctr">
                <a:solidFill>
                  <a:schemeClr val="tx1">
                    <a:lumMod val="65000"/>
                    <a:lumOff val="35000"/>
                  </a:schemeClr>
                </a:solidFill>
                <a:round/>
              </a:ln>
              <a:effectLst/>
            </c:spPr>
          </c:errBars>
          <c:cat>
            <c:numRef>
              <c:f>'F3'!$A$18:$A$30</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'F3'!$B$18:$B$30</c:f>
              <c:numCache>
                <c:formatCode>0.0%</c:formatCode>
                <c:ptCount val="13"/>
                <c:pt idx="0">
                  <c:v>2.8000000000000001E-2</c:v>
                </c:pt>
                <c:pt idx="1">
                  <c:v>2.4E-2</c:v>
                </c:pt>
                <c:pt idx="2">
                  <c:v>2.1999999999999999E-2</c:v>
                </c:pt>
                <c:pt idx="3">
                  <c:v>2.4E-2</c:v>
                </c:pt>
                <c:pt idx="4">
                  <c:v>3.1E-2</c:v>
                </c:pt>
                <c:pt idx="5">
                  <c:v>3.2000000000000001E-2</c:v>
                </c:pt>
                <c:pt idx="6">
                  <c:v>3.1E-2</c:v>
                </c:pt>
                <c:pt idx="7">
                  <c:v>2.9000000000000001E-2</c:v>
                </c:pt>
                <c:pt idx="8">
                  <c:v>3.2000000000000001E-2</c:v>
                </c:pt>
                <c:pt idx="9">
                  <c:v>2.4E-2</c:v>
                </c:pt>
                <c:pt idx="10">
                  <c:v>3.3000000000000002E-2</c:v>
                </c:pt>
                <c:pt idx="11">
                  <c:v>0.03</c:v>
                </c:pt>
                <c:pt idx="12">
                  <c:v>0.03</c:v>
                </c:pt>
              </c:numCache>
            </c:numRef>
          </c:val>
          <c:extLst>
            <c:ext xmlns:c16="http://schemas.microsoft.com/office/drawing/2014/chart" uri="{C3380CC4-5D6E-409C-BE32-E72D297353CC}">
              <c16:uniqueId val="{00000000-0F88-46D4-A519-BA0BE01FA33F}"/>
            </c:ext>
          </c:extLst>
        </c:ser>
        <c:ser>
          <c:idx val="1"/>
          <c:order val="1"/>
          <c:tx>
            <c:strRef>
              <c:f>'F3'!$H$17</c:f>
              <c:strCache>
                <c:ptCount val="1"/>
                <c:pt idx="0">
                  <c:v>U.S.</c:v>
                </c:pt>
              </c:strCache>
            </c:strRef>
          </c:tx>
          <c:spPr>
            <a:solidFill>
              <a:srgbClr val="70AD47"/>
            </a:solidFill>
            <a:ln>
              <a:noFill/>
            </a:ln>
            <a:effectLst/>
          </c:spPr>
          <c:invertIfNegative val="0"/>
          <c:cat>
            <c:numRef>
              <c:f>'F3'!$A$18:$A$30</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'F3'!$H$18:$H$30</c:f>
              <c:numCache>
                <c:formatCode>0.0%</c:formatCode>
                <c:ptCount val="13"/>
                <c:pt idx="0">
                  <c:v>2.5999999999999999E-2</c:v>
                </c:pt>
                <c:pt idx="1">
                  <c:v>2.5999999999999999E-2</c:v>
                </c:pt>
                <c:pt idx="2">
                  <c:v>2.5999999999999999E-2</c:v>
                </c:pt>
                <c:pt idx="3">
                  <c:v>2.4E-2</c:v>
                </c:pt>
                <c:pt idx="4">
                  <c:v>2.7E-2</c:v>
                </c:pt>
                <c:pt idx="5">
                  <c:v>2.9000000000000001E-2</c:v>
                </c:pt>
                <c:pt idx="6">
                  <c:v>2.9000000000000001E-2</c:v>
                </c:pt>
                <c:pt idx="7">
                  <c:v>2.8000000000000001E-2</c:v>
                </c:pt>
                <c:pt idx="8">
                  <c:v>0.03</c:v>
                </c:pt>
                <c:pt idx="9">
                  <c:v>0.03</c:v>
                </c:pt>
                <c:pt idx="10">
                  <c:v>0.03</c:v>
                </c:pt>
                <c:pt idx="11">
                  <c:v>0.03</c:v>
                </c:pt>
                <c:pt idx="12" formatCode="0.00%">
                  <c:v>3.4000000000000002E-2</c:v>
                </c:pt>
              </c:numCache>
            </c:numRef>
          </c:val>
          <c:extLst>
            <c:ext xmlns:c16="http://schemas.microsoft.com/office/drawing/2014/chart" uri="{C3380CC4-5D6E-409C-BE32-E72D297353CC}">
              <c16:uniqueId val="{00000001-0F88-46D4-A519-BA0BE01FA33F}"/>
            </c:ext>
          </c:extLst>
        </c:ser>
        <c:dLbls>
          <c:showLegendKey val="0"/>
          <c:showVal val="0"/>
          <c:showCatName val="0"/>
          <c:showSerName val="0"/>
          <c:showPercent val="0"/>
          <c:showBubbleSize val="0"/>
        </c:dLbls>
        <c:gapWidth val="219"/>
        <c:overlap val="-27"/>
        <c:axId val="730069392"/>
        <c:axId val="730070048"/>
      </c:barChart>
      <c:catAx>
        <c:axId val="730069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730070048"/>
        <c:crosses val="autoZero"/>
        <c:auto val="1"/>
        <c:lblAlgn val="ctr"/>
        <c:lblOffset val="100"/>
        <c:noMultiLvlLbl val="0"/>
      </c:catAx>
      <c:valAx>
        <c:axId val="730070048"/>
        <c:scaling>
          <c:orientation val="minMax"/>
          <c:max val="4.0000000000000008E-2"/>
          <c:min val="1.0000000000000002E-2"/>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US" sz="700" b="0" i="0" baseline="0">
                    <a:solidFill>
                      <a:sysClr val="windowText" lastClr="000000"/>
                    </a:solidFill>
                    <a:effectLst/>
                  </a:rPr>
                  <a:t>Percent (%) of Patients</a:t>
                </a:r>
                <a:endParaRPr lang="en-US" sz="700">
                  <a:solidFill>
                    <a:sysClr val="windowText" lastClr="000000"/>
                  </a:solidFill>
                  <a:effectLst/>
                </a:endParaRPr>
              </a:p>
            </c:rich>
          </c:tx>
          <c:layout>
            <c:manualLayout>
              <c:xMode val="edge"/>
              <c:yMode val="edge"/>
              <c:x val="2.3481694951435584E-2"/>
              <c:y val="5.275056518462698E-2"/>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30069392"/>
        <c:crosses val="autoZero"/>
        <c:crossBetween val="between"/>
        <c:minorUnit val="1.0000000000000002E-2"/>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en-US"/>
          </a:p>
        </c:txPr>
      </c:dTable>
      <c:spPr>
        <a:noFill/>
        <a:ln>
          <a:solidFill>
            <a:schemeClr val="bg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45921422269474"/>
          <c:y val="0.10653713249872543"/>
          <c:w val="0.8247664189655618"/>
          <c:h val="0.67526521394128058"/>
        </c:manualLayout>
      </c:layout>
      <c:barChart>
        <c:barDir val="col"/>
        <c:grouping val="clustered"/>
        <c:varyColors val="0"/>
        <c:ser>
          <c:idx val="0"/>
          <c:order val="0"/>
          <c:spPr>
            <a:solidFill>
              <a:srgbClr val="0070C0"/>
            </a:solidFill>
            <a:ln>
              <a:noFill/>
            </a:ln>
            <a:effectLst/>
          </c:spPr>
          <c:invertIfNegative val="0"/>
          <c:dPt>
            <c:idx val="0"/>
            <c:invertIfNegative val="0"/>
            <c:bubble3D val="0"/>
            <c:spPr>
              <a:solidFill>
                <a:srgbClr val="997300"/>
              </a:solidFill>
              <a:ln>
                <a:noFill/>
              </a:ln>
              <a:effectLst/>
            </c:spPr>
            <c:extLst>
              <c:ext xmlns:c16="http://schemas.microsoft.com/office/drawing/2014/chart" uri="{C3380CC4-5D6E-409C-BE32-E72D297353CC}">
                <c16:uniqueId val="{00000000-4DAB-4372-9137-0F74D0D2D26E}"/>
              </c:ext>
            </c:extLst>
          </c:dPt>
          <c:dPt>
            <c:idx val="1"/>
            <c:invertIfNegative val="0"/>
            <c:bubble3D val="0"/>
            <c:spPr>
              <a:solidFill>
                <a:srgbClr val="255E91"/>
              </a:solidFill>
              <a:ln>
                <a:noFill/>
              </a:ln>
              <a:effectLst/>
            </c:spPr>
            <c:extLst>
              <c:ext xmlns:c16="http://schemas.microsoft.com/office/drawing/2014/chart" uri="{C3380CC4-5D6E-409C-BE32-E72D297353CC}">
                <c16:uniqueId val="{00000001-4DAB-4372-9137-0F74D0D2D26E}"/>
              </c:ext>
            </c:extLst>
          </c:dPt>
          <c:dPt>
            <c:idx val="2"/>
            <c:invertIfNegative val="0"/>
            <c:bubble3D val="0"/>
            <c:spPr>
              <a:solidFill>
                <a:srgbClr val="70AD47"/>
              </a:solidFill>
              <a:ln>
                <a:noFill/>
              </a:ln>
              <a:effectLst/>
            </c:spPr>
            <c:extLst>
              <c:ext xmlns:c16="http://schemas.microsoft.com/office/drawing/2014/chart" uri="{C3380CC4-5D6E-409C-BE32-E72D297353CC}">
                <c16:uniqueId val="{00000002-4DAB-4372-9137-0F74D0D2D26E}"/>
              </c:ext>
            </c:extLst>
          </c:dPt>
          <c:dPt>
            <c:idx val="3"/>
            <c:invertIfNegative val="0"/>
            <c:bubble3D val="0"/>
            <c:spPr>
              <a:solidFill>
                <a:srgbClr val="9E480E"/>
              </a:solidFill>
              <a:ln>
                <a:noFill/>
              </a:ln>
              <a:effectLst/>
            </c:spPr>
            <c:extLst>
              <c:ext xmlns:c16="http://schemas.microsoft.com/office/drawing/2014/chart" uri="{C3380CC4-5D6E-409C-BE32-E72D297353CC}">
                <c16:uniqueId val="{00000003-4DAB-4372-9137-0F74D0D2D26E}"/>
              </c:ext>
            </c:extLst>
          </c:dPt>
          <c:dPt>
            <c:idx val="4"/>
            <c:invertIfNegative val="0"/>
            <c:bubble3D val="0"/>
            <c:spPr>
              <a:solidFill>
                <a:srgbClr val="ED7D31"/>
              </a:solidFill>
              <a:ln>
                <a:noFill/>
              </a:ln>
              <a:effectLst/>
            </c:spPr>
            <c:extLst>
              <c:ext xmlns:c16="http://schemas.microsoft.com/office/drawing/2014/chart" uri="{C3380CC4-5D6E-409C-BE32-E72D297353CC}">
                <c16:uniqueId val="{00000004-4DAB-4372-9137-0F74D0D2D26E}"/>
              </c:ext>
            </c:extLst>
          </c:dPt>
          <c:dPt>
            <c:idx val="5"/>
            <c:invertIfNegative val="0"/>
            <c:bubble3D val="0"/>
            <c:spPr>
              <a:solidFill>
                <a:srgbClr val="4472C4"/>
              </a:solidFill>
              <a:ln>
                <a:noFill/>
              </a:ln>
              <a:effectLst/>
            </c:spPr>
            <c:extLst>
              <c:ext xmlns:c16="http://schemas.microsoft.com/office/drawing/2014/chart" uri="{C3380CC4-5D6E-409C-BE32-E72D297353CC}">
                <c16:uniqueId val="{00000005-4DAB-4372-9137-0F74D0D2D26E}"/>
              </c:ext>
            </c:extLst>
          </c:dPt>
          <c:dPt>
            <c:idx val="6"/>
            <c:invertIfNegative val="0"/>
            <c:bubble3D val="0"/>
            <c:spPr>
              <a:solidFill>
                <a:srgbClr val="FFC000"/>
              </a:solidFill>
              <a:ln>
                <a:noFill/>
              </a:ln>
              <a:effectLst/>
            </c:spPr>
            <c:extLst>
              <c:ext xmlns:c16="http://schemas.microsoft.com/office/drawing/2014/chart" uri="{C3380CC4-5D6E-409C-BE32-E72D297353CC}">
                <c16:uniqueId val="{00000006-4DAB-4372-9137-0F74D0D2D26E}"/>
              </c:ext>
            </c:extLst>
          </c:dPt>
          <c:dLbls>
            <c:dLbl>
              <c:idx val="0"/>
              <c:layout>
                <c:manualLayout>
                  <c:x val="0"/>
                  <c:y val="-1.10391649871297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DAB-4372-9137-0F74D0D2D26E}"/>
                </c:ext>
              </c:extLst>
            </c:dLbl>
            <c:dLbl>
              <c:idx val="1"/>
              <c:layout>
                <c:manualLayout>
                  <c:x val="0"/>
                  <c:y val="-3.679721662376555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DAB-4372-9137-0F74D0D2D26E}"/>
                </c:ext>
              </c:extLst>
            </c:dLbl>
            <c:dLbl>
              <c:idx val="2"/>
              <c:layout>
                <c:manualLayout>
                  <c:x val="-6.2764876768184872E-4"/>
                  <c:y val="-0.1417273124950290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DAB-4372-9137-0F74D0D2D26E}"/>
                </c:ext>
              </c:extLst>
            </c:dLbl>
            <c:dLbl>
              <c:idx val="3"/>
              <c:layout>
                <c:manualLayout>
                  <c:x val="-4.4669733965787124E-4"/>
                  <c:y val="-0.1198712079594701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DAB-4372-9137-0F74D0D2D26E}"/>
                </c:ext>
              </c:extLst>
            </c:dLbl>
            <c:dLbl>
              <c:idx val="4"/>
              <c:layout>
                <c:manualLayout>
                  <c:x val="-1.5261311160141165E-3"/>
                  <c:y val="-8.105536226576336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DAB-4372-9137-0F74D0D2D26E}"/>
                </c:ext>
              </c:extLst>
            </c:dLbl>
            <c:dLbl>
              <c:idx val="5"/>
              <c:layout>
                <c:manualLayout>
                  <c:x val="0"/>
                  <c:y val="-0.1669967390439831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DAB-4372-9137-0F74D0D2D26E}"/>
                </c:ext>
              </c:extLst>
            </c:dLbl>
            <c:dLbl>
              <c:idx val="6"/>
              <c:layout>
                <c:manualLayout>
                  <c:x val="0"/>
                  <c:y val="-4.77678080937557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DAB-4372-9137-0F74D0D2D26E}"/>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'F4'!$G$2:$G$8</c:f>
                <c:numCache>
                  <c:formatCode>General</c:formatCode>
                  <c:ptCount val="7"/>
                  <c:pt idx="0">
                    <c:v>8.0000000000000002E-3</c:v>
                  </c:pt>
                  <c:pt idx="1">
                    <c:v>1.1999999999999997E-2</c:v>
                  </c:pt>
                  <c:pt idx="2">
                    <c:v>3.9E-2</c:v>
                  </c:pt>
                  <c:pt idx="3">
                    <c:v>3.1E-2</c:v>
                  </c:pt>
                  <c:pt idx="4">
                    <c:v>1.8000000000000002E-2</c:v>
                  </c:pt>
                  <c:pt idx="5">
                    <c:v>5.7999999999999996E-2</c:v>
                  </c:pt>
                  <c:pt idx="6">
                    <c:v>1.0999999999999999E-2</c:v>
                  </c:pt>
                </c:numCache>
              </c:numRef>
            </c:plus>
            <c:minus>
              <c:numRef>
                <c:f>'F4'!$F$2:$F$8</c:f>
                <c:numCache>
                  <c:formatCode>General</c:formatCode>
                  <c:ptCount val="7"/>
                  <c:pt idx="0">
                    <c:v>8.0000000000000002E-3</c:v>
                  </c:pt>
                  <c:pt idx="1">
                    <c:v>1.2E-2</c:v>
                  </c:pt>
                  <c:pt idx="2">
                    <c:v>3.9999999999999994E-2</c:v>
                  </c:pt>
                  <c:pt idx="3">
                    <c:v>1.4999999999999999E-2</c:v>
                  </c:pt>
                  <c:pt idx="4">
                    <c:v>1.0999999999999999E-2</c:v>
                  </c:pt>
                  <c:pt idx="5">
                    <c:v>5.8000000000000003E-2</c:v>
                  </c:pt>
                  <c:pt idx="6">
                    <c:v>1.1000000000000001E-2</c:v>
                  </c:pt>
                </c:numCache>
              </c:numRef>
            </c:minus>
            <c:spPr>
              <a:noFill/>
              <a:ln w="9525" cap="flat" cmpd="sng" algn="ctr">
                <a:solidFill>
                  <a:schemeClr val="tx1">
                    <a:lumMod val="65000"/>
                    <a:lumOff val="35000"/>
                  </a:schemeClr>
                </a:solidFill>
                <a:round/>
              </a:ln>
              <a:effectLst/>
            </c:spPr>
          </c:errBars>
          <c:cat>
            <c:strRef>
              <c:f>'F4'!$B$2:$B$8</c:f>
              <c:strCache>
                <c:ptCount val="7"/>
                <c:pt idx="0">
                  <c:v>All Races</c:v>
                </c:pt>
                <c:pt idx="1">
                  <c:v>White</c:v>
                </c:pt>
                <c:pt idx="2">
                  <c:v>African American</c:v>
                </c:pt>
                <c:pt idx="3">
                  <c:v>AI/AN</c:v>
                </c:pt>
                <c:pt idx="4">
                  <c:v>ANHPI</c:v>
                </c:pt>
                <c:pt idx="5">
                  <c:v>Other Race</c:v>
                </c:pt>
                <c:pt idx="6">
                  <c:v>Hispanic</c:v>
                </c:pt>
              </c:strCache>
            </c:strRef>
          </c:cat>
          <c:val>
            <c:numRef>
              <c:f>'F4'!$C$2:$C$8</c:f>
              <c:numCache>
                <c:formatCode>0.0%</c:formatCode>
                <c:ptCount val="7"/>
                <c:pt idx="0">
                  <c:v>3.3000000000000002E-2</c:v>
                </c:pt>
                <c:pt idx="1">
                  <c:v>3.9E-2</c:v>
                </c:pt>
                <c:pt idx="2">
                  <c:v>5.0999999999999997E-2</c:v>
                </c:pt>
                <c:pt idx="3">
                  <c:v>1.4999999999999999E-2</c:v>
                </c:pt>
                <c:pt idx="4">
                  <c:v>1.0999999999999999E-2</c:v>
                </c:pt>
                <c:pt idx="5">
                  <c:v>9.6000000000000002E-2</c:v>
                </c:pt>
                <c:pt idx="6">
                  <c:v>1.7000000000000001E-2</c:v>
                </c:pt>
              </c:numCache>
            </c:numRef>
          </c:val>
          <c:extLst>
            <c:ext xmlns:c16="http://schemas.microsoft.com/office/drawing/2014/chart" uri="{C3380CC4-5D6E-409C-BE32-E72D297353CC}">
              <c16:uniqueId val="{00000007-4DAB-4372-9137-0F74D0D2D26E}"/>
            </c:ext>
          </c:extLst>
        </c:ser>
        <c:dLbls>
          <c:dLblPos val="outEnd"/>
          <c:showLegendKey val="0"/>
          <c:showVal val="1"/>
          <c:showCatName val="0"/>
          <c:showSerName val="0"/>
          <c:showPercent val="0"/>
          <c:showBubbleSize val="0"/>
        </c:dLbls>
        <c:gapWidth val="219"/>
        <c:overlap val="-27"/>
        <c:axId val="725596144"/>
        <c:axId val="725591880"/>
      </c:barChart>
      <c:catAx>
        <c:axId val="725596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25591880"/>
        <c:crosses val="autoZero"/>
        <c:auto val="1"/>
        <c:lblAlgn val="ctr"/>
        <c:lblOffset val="100"/>
        <c:noMultiLvlLbl val="0"/>
      </c:catAx>
      <c:valAx>
        <c:axId val="725591880"/>
        <c:scaling>
          <c:orientation val="minMax"/>
          <c:max val="0.13"/>
        </c:scaling>
        <c:delete val="0"/>
        <c:axPos val="l"/>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725596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84208223972003"/>
          <c:y val="5.7479063698195498E-2"/>
          <c:w val="0.84606016555622854"/>
          <c:h val="0.45824782951854776"/>
        </c:manualLayout>
      </c:layout>
      <c:barChart>
        <c:barDir val="col"/>
        <c:grouping val="clustered"/>
        <c:varyColors val="0"/>
        <c:ser>
          <c:idx val="0"/>
          <c:order val="0"/>
          <c:tx>
            <c:strRef>
              <c:f>'Death by Yr.'!$M$4</c:f>
              <c:strCache>
                <c:ptCount val="1"/>
                <c:pt idx="0">
                  <c:v>Heart Disease</c:v>
                </c:pt>
              </c:strCache>
            </c:strRef>
          </c:tx>
          <c:spPr>
            <a:solidFill>
              <a:srgbClr val="9E480E"/>
            </a:solidFill>
            <a:ln>
              <a:noFill/>
            </a:ln>
            <a:effectLst/>
          </c:spPr>
          <c:invertIfNegative val="0"/>
          <c:errBars>
            <c:errBarType val="both"/>
            <c:errValType val="cust"/>
            <c:noEndCap val="0"/>
            <c:plus>
              <c:numRef>
                <c:f>'Death by Yr.'!$Q$37:$Q$43</c:f>
                <c:numCache>
                  <c:formatCode>General</c:formatCode>
                  <c:ptCount val="7"/>
                  <c:pt idx="0">
                    <c:v>10.400000000000006</c:v>
                  </c:pt>
                  <c:pt idx="1">
                    <c:v>10.400000000000006</c:v>
                  </c:pt>
                  <c:pt idx="2">
                    <c:v>10.300000000000011</c:v>
                  </c:pt>
                  <c:pt idx="3">
                    <c:v>10.599999999999994</c:v>
                  </c:pt>
                  <c:pt idx="4">
                    <c:v>10.5</c:v>
                  </c:pt>
                  <c:pt idx="5">
                    <c:v>10.299999999999983</c:v>
                  </c:pt>
                  <c:pt idx="6">
                    <c:v>9.6000000000000227</c:v>
                  </c:pt>
                </c:numCache>
              </c:numRef>
            </c:plus>
            <c:minus>
              <c:numRef>
                <c:f>'Death by Yr.'!$P$37:$P$43</c:f>
                <c:numCache>
                  <c:formatCode>General</c:formatCode>
                  <c:ptCount val="7"/>
                  <c:pt idx="0">
                    <c:v>5.2000000000000171</c:v>
                  </c:pt>
                  <c:pt idx="1">
                    <c:v>5.2000000000000171</c:v>
                  </c:pt>
                  <c:pt idx="2">
                    <c:v>5.1999999999999886</c:v>
                  </c:pt>
                  <c:pt idx="3">
                    <c:v>5.2999999999999829</c:v>
                  </c:pt>
                  <c:pt idx="4">
                    <c:v>5.1999999999999886</c:v>
                  </c:pt>
                  <c:pt idx="5">
                    <c:v>5.1999999999999886</c:v>
                  </c:pt>
                  <c:pt idx="6">
                    <c:v>4.8000000000000114</c:v>
                  </c:pt>
                </c:numCache>
              </c:numRef>
            </c:minus>
            <c:spPr>
              <a:noFill/>
              <a:ln w="9525" cap="flat" cmpd="sng" algn="ctr">
                <a:solidFill>
                  <a:schemeClr val="tx1">
                    <a:lumMod val="65000"/>
                    <a:lumOff val="35000"/>
                  </a:schemeClr>
                </a:solidFill>
                <a:round/>
              </a:ln>
              <a:effectLst/>
            </c:spPr>
          </c:errBars>
          <c:cat>
            <c:numRef>
              <c:f>'Death by Yr.'!$L$5:$L$11</c:f>
              <c:numCache>
                <c:formatCode>General</c:formatCode>
                <c:ptCount val="7"/>
                <c:pt idx="0">
                  <c:v>2012</c:v>
                </c:pt>
                <c:pt idx="1">
                  <c:v>2013</c:v>
                </c:pt>
                <c:pt idx="2">
                  <c:v>2014</c:v>
                </c:pt>
                <c:pt idx="3">
                  <c:v>2015</c:v>
                </c:pt>
                <c:pt idx="4">
                  <c:v>2016</c:v>
                </c:pt>
                <c:pt idx="5">
                  <c:v>2017</c:v>
                </c:pt>
                <c:pt idx="6">
                  <c:v>2018</c:v>
                </c:pt>
              </c:numCache>
            </c:numRef>
          </c:cat>
          <c:val>
            <c:numRef>
              <c:f>'Death by Yr.'!$M$5:$M$11</c:f>
              <c:numCache>
                <c:formatCode>General</c:formatCode>
                <c:ptCount val="7"/>
                <c:pt idx="0">
                  <c:v>188.4</c:v>
                </c:pt>
                <c:pt idx="1">
                  <c:v>193.4</c:v>
                </c:pt>
                <c:pt idx="2">
                  <c:v>197.2</c:v>
                </c:pt>
                <c:pt idx="3">
                  <c:v>209.7</c:v>
                </c:pt>
                <c:pt idx="4">
                  <c:v>216.1</c:v>
                </c:pt>
                <c:pt idx="5">
                  <c:v>210.1</c:v>
                </c:pt>
                <c:pt idx="6">
                  <c:v>197.5</c:v>
                </c:pt>
              </c:numCache>
            </c:numRef>
          </c:val>
          <c:extLst>
            <c:ext xmlns:c16="http://schemas.microsoft.com/office/drawing/2014/chart" uri="{C3380CC4-5D6E-409C-BE32-E72D297353CC}">
              <c16:uniqueId val="{00000007-4308-489D-AF09-5C1AE4317869}"/>
            </c:ext>
          </c:extLst>
        </c:ser>
        <c:ser>
          <c:idx val="1"/>
          <c:order val="1"/>
          <c:tx>
            <c:strRef>
              <c:f>'Death by Yr.'!$N$4</c:f>
              <c:strCache>
                <c:ptCount val="1"/>
                <c:pt idx="0">
                  <c:v>Cancer</c:v>
                </c:pt>
              </c:strCache>
            </c:strRef>
          </c:tx>
          <c:spPr>
            <a:solidFill>
              <a:srgbClr val="5B9BD5"/>
            </a:solidFill>
            <a:ln>
              <a:noFill/>
            </a:ln>
            <a:effectLst/>
          </c:spPr>
          <c:invertIfNegative val="0"/>
          <c:errBars>
            <c:errBarType val="both"/>
            <c:errValType val="cust"/>
            <c:noEndCap val="0"/>
            <c:plus>
              <c:numRef>
                <c:f>'Death by Yr.'!$Q$47:$Q$53</c:f>
                <c:numCache>
                  <c:formatCode>General</c:formatCode>
                  <c:ptCount val="7"/>
                  <c:pt idx="0">
                    <c:v>9.4000000000000057</c:v>
                  </c:pt>
                  <c:pt idx="1">
                    <c:v>9.2000000000000171</c:v>
                  </c:pt>
                  <c:pt idx="2">
                    <c:v>9.1999999999999886</c:v>
                  </c:pt>
                  <c:pt idx="3">
                    <c:v>9.0999999999999943</c:v>
                  </c:pt>
                  <c:pt idx="4">
                    <c:v>9</c:v>
                  </c:pt>
                  <c:pt idx="5">
                    <c:v>8.7999999999999829</c:v>
                  </c:pt>
                  <c:pt idx="6">
                    <c:v>8.2000000000000171</c:v>
                  </c:pt>
                </c:numCache>
              </c:numRef>
            </c:plus>
            <c:minus>
              <c:numRef>
                <c:f>'Death by Yr.'!$P$47:$P$53</c:f>
                <c:numCache>
                  <c:formatCode>General</c:formatCode>
                  <c:ptCount val="7"/>
                  <c:pt idx="0">
                    <c:v>4.7000000000000171</c:v>
                  </c:pt>
                  <c:pt idx="1">
                    <c:v>4.5999999999999943</c:v>
                  </c:pt>
                  <c:pt idx="2">
                    <c:v>4.5999999999999943</c:v>
                  </c:pt>
                  <c:pt idx="3">
                    <c:v>4.5999999999999943</c:v>
                  </c:pt>
                  <c:pt idx="4">
                    <c:v>4.5</c:v>
                  </c:pt>
                  <c:pt idx="5">
                    <c:v>4.4000000000000057</c:v>
                  </c:pt>
                  <c:pt idx="6">
                    <c:v>4.0999999999999943</c:v>
                  </c:pt>
                </c:numCache>
              </c:numRef>
            </c:minus>
            <c:spPr>
              <a:noFill/>
              <a:ln w="9525" cap="flat" cmpd="sng" algn="ctr">
                <a:solidFill>
                  <a:schemeClr val="tx1">
                    <a:lumMod val="65000"/>
                    <a:lumOff val="35000"/>
                  </a:schemeClr>
                </a:solidFill>
                <a:round/>
              </a:ln>
              <a:effectLst/>
            </c:spPr>
          </c:errBars>
          <c:cat>
            <c:numRef>
              <c:f>'Death by Yr.'!$L$5:$L$11</c:f>
              <c:numCache>
                <c:formatCode>General</c:formatCode>
                <c:ptCount val="7"/>
                <c:pt idx="0">
                  <c:v>2012</c:v>
                </c:pt>
                <c:pt idx="1">
                  <c:v>2013</c:v>
                </c:pt>
                <c:pt idx="2">
                  <c:v>2014</c:v>
                </c:pt>
                <c:pt idx="3">
                  <c:v>2015</c:v>
                </c:pt>
                <c:pt idx="4">
                  <c:v>2016</c:v>
                </c:pt>
                <c:pt idx="5">
                  <c:v>2017</c:v>
                </c:pt>
                <c:pt idx="6">
                  <c:v>2018</c:v>
                </c:pt>
              </c:numCache>
            </c:numRef>
          </c:cat>
          <c:val>
            <c:numRef>
              <c:f>'Death by Yr.'!$N$5:$N$11</c:f>
              <c:numCache>
                <c:formatCode>General</c:formatCode>
                <c:ptCount val="7"/>
                <c:pt idx="0">
                  <c:v>158.80000000000001</c:v>
                </c:pt>
                <c:pt idx="1">
                  <c:v>162.19999999999999</c:v>
                </c:pt>
                <c:pt idx="2">
                  <c:v>164.1</c:v>
                </c:pt>
                <c:pt idx="3">
                  <c:v>163.69999999999999</c:v>
                </c:pt>
                <c:pt idx="4">
                  <c:v>164.7</c:v>
                </c:pt>
                <c:pt idx="5">
                  <c:v>163.30000000000001</c:v>
                </c:pt>
                <c:pt idx="6">
                  <c:v>150.69999999999999</c:v>
                </c:pt>
              </c:numCache>
            </c:numRef>
          </c:val>
          <c:extLst>
            <c:ext xmlns:c16="http://schemas.microsoft.com/office/drawing/2014/chart" uri="{C3380CC4-5D6E-409C-BE32-E72D297353CC}">
              <c16:uniqueId val="{0000000F-4308-489D-AF09-5C1AE4317869}"/>
            </c:ext>
          </c:extLst>
        </c:ser>
        <c:ser>
          <c:idx val="2"/>
          <c:order val="2"/>
          <c:tx>
            <c:strRef>
              <c:f>'Death by Yr.'!$O$4</c:f>
              <c:strCache>
                <c:ptCount val="1"/>
                <c:pt idx="0">
                  <c:v>Stroke</c:v>
                </c:pt>
              </c:strCache>
            </c:strRef>
          </c:tx>
          <c:spPr>
            <a:solidFill>
              <a:srgbClr val="70AD47"/>
            </a:solidFill>
            <a:ln>
              <a:noFill/>
            </a:ln>
            <a:effectLst/>
          </c:spPr>
          <c:invertIfNegative val="0"/>
          <c:errBars>
            <c:errBarType val="both"/>
            <c:errValType val="cust"/>
            <c:noEndCap val="0"/>
            <c:plus>
              <c:numRef>
                <c:f>'Death by Yr.'!$Q$55:$Q$61</c:f>
                <c:numCache>
                  <c:formatCode>General</c:formatCode>
                  <c:ptCount val="7"/>
                  <c:pt idx="0">
                    <c:v>4.5</c:v>
                  </c:pt>
                  <c:pt idx="1">
                    <c:v>4.3000000000000007</c:v>
                  </c:pt>
                  <c:pt idx="2">
                    <c:v>4.3000000000000043</c:v>
                  </c:pt>
                  <c:pt idx="3">
                    <c:v>4.6000000000000014</c:v>
                  </c:pt>
                  <c:pt idx="4">
                    <c:v>4.5</c:v>
                  </c:pt>
                  <c:pt idx="5">
                    <c:v>4.3999999999999986</c:v>
                  </c:pt>
                  <c:pt idx="6">
                    <c:v>4.2999999999999972</c:v>
                  </c:pt>
                </c:numCache>
              </c:numRef>
            </c:plus>
            <c:minus>
              <c:numRef>
                <c:f>'Death by Yr.'!$P$55:$P$61</c:f>
                <c:numCache>
                  <c:formatCode>General</c:formatCode>
                  <c:ptCount val="7"/>
                  <c:pt idx="0">
                    <c:v>2.2999999999999972</c:v>
                  </c:pt>
                  <c:pt idx="1">
                    <c:v>2.0999999999999979</c:v>
                  </c:pt>
                  <c:pt idx="2">
                    <c:v>2.2000000000000028</c:v>
                  </c:pt>
                  <c:pt idx="3">
                    <c:v>2.3000000000000043</c:v>
                  </c:pt>
                  <c:pt idx="4">
                    <c:v>2.2999999999999972</c:v>
                  </c:pt>
                  <c:pt idx="5">
                    <c:v>2.2000000000000028</c:v>
                  </c:pt>
                  <c:pt idx="6">
                    <c:v>2.2000000000000028</c:v>
                  </c:pt>
                </c:numCache>
              </c:numRef>
            </c:minus>
            <c:spPr>
              <a:noFill/>
              <a:ln w="9525" cap="flat" cmpd="sng" algn="ctr">
                <a:solidFill>
                  <a:schemeClr val="tx1">
                    <a:lumMod val="65000"/>
                    <a:lumOff val="35000"/>
                  </a:schemeClr>
                </a:solidFill>
                <a:round/>
              </a:ln>
              <a:effectLst/>
            </c:spPr>
          </c:errBars>
          <c:cat>
            <c:numRef>
              <c:f>'Death by Yr.'!$L$5:$L$11</c:f>
              <c:numCache>
                <c:formatCode>General</c:formatCode>
                <c:ptCount val="7"/>
                <c:pt idx="0">
                  <c:v>2012</c:v>
                </c:pt>
                <c:pt idx="1">
                  <c:v>2013</c:v>
                </c:pt>
                <c:pt idx="2">
                  <c:v>2014</c:v>
                </c:pt>
                <c:pt idx="3">
                  <c:v>2015</c:v>
                </c:pt>
                <c:pt idx="4">
                  <c:v>2016</c:v>
                </c:pt>
                <c:pt idx="5">
                  <c:v>2017</c:v>
                </c:pt>
                <c:pt idx="6">
                  <c:v>2018</c:v>
                </c:pt>
              </c:numCache>
            </c:numRef>
          </c:cat>
          <c:val>
            <c:numRef>
              <c:f>'Death by Yr.'!$O$5:$O$11</c:f>
              <c:numCache>
                <c:formatCode>General</c:formatCode>
                <c:ptCount val="7"/>
                <c:pt idx="0">
                  <c:v>33.4</c:v>
                </c:pt>
                <c:pt idx="1">
                  <c:v>32.799999999999997</c:v>
                </c:pt>
                <c:pt idx="2">
                  <c:v>33.6</c:v>
                </c:pt>
                <c:pt idx="3">
                  <c:v>38.700000000000003</c:v>
                </c:pt>
                <c:pt idx="4">
                  <c:v>37.9</c:v>
                </c:pt>
                <c:pt idx="5">
                  <c:v>37.700000000000003</c:v>
                </c:pt>
                <c:pt idx="6">
                  <c:v>37.700000000000003</c:v>
                </c:pt>
              </c:numCache>
            </c:numRef>
          </c:val>
          <c:extLst>
            <c:ext xmlns:c16="http://schemas.microsoft.com/office/drawing/2014/chart" uri="{C3380CC4-5D6E-409C-BE32-E72D297353CC}">
              <c16:uniqueId val="{00000010-4308-489D-AF09-5C1AE4317869}"/>
            </c:ext>
          </c:extLst>
        </c:ser>
        <c:dLbls>
          <c:showLegendKey val="0"/>
          <c:showVal val="0"/>
          <c:showCatName val="0"/>
          <c:showSerName val="0"/>
          <c:showPercent val="0"/>
          <c:showBubbleSize val="0"/>
        </c:dLbls>
        <c:gapWidth val="219"/>
        <c:overlap val="-27"/>
        <c:axId val="681864320"/>
        <c:axId val="681856776"/>
      </c:barChart>
      <c:catAx>
        <c:axId val="681864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81856776"/>
        <c:crosses val="autoZero"/>
        <c:auto val="1"/>
        <c:lblAlgn val="ctr"/>
        <c:lblOffset val="100"/>
        <c:noMultiLvlLbl val="0"/>
      </c:catAx>
      <c:valAx>
        <c:axId val="681856776"/>
        <c:scaling>
          <c:orientation val="minMax"/>
        </c:scaling>
        <c:delete val="0"/>
        <c:axPos val="l"/>
        <c:title>
          <c:tx>
            <c:rich>
              <a:bodyPr rot="-5400000" spcFirstLastPara="1" vertOverflow="ellipsis" vert="horz" wrap="square" anchor="ctr" anchorCtr="1"/>
              <a:lstStyle/>
              <a:p>
                <a:pPr algn="ctr" rtl="0">
                  <a:defRPr sz="700" b="0" i="0" u="none" strike="noStrike" kern="1200" baseline="0">
                    <a:solidFill>
                      <a:sysClr val="windowText" lastClr="000000"/>
                    </a:solidFill>
                    <a:latin typeface="+mn-lt"/>
                    <a:ea typeface="+mn-ea"/>
                    <a:cs typeface="+mn-cs"/>
                  </a:defRPr>
                </a:pPr>
                <a:r>
                  <a:rPr lang="en-US" sz="700"/>
                  <a:t>Age-Adjusted Rate </a:t>
                </a:r>
              </a:p>
              <a:p>
                <a:pPr algn="ctr" rtl="0">
                  <a:defRPr sz="700"/>
                </a:pPr>
                <a:r>
                  <a:rPr lang="en-US" sz="700"/>
                  <a:t>(per 100,000 population)</a:t>
                </a:r>
              </a:p>
              <a:p>
                <a:pPr algn="ctr" rtl="0">
                  <a:defRPr sz="700"/>
                </a:pPr>
                <a:endParaRPr lang="en-US" sz="700"/>
              </a:p>
            </c:rich>
          </c:tx>
          <c:layout>
            <c:manualLayout>
              <c:xMode val="edge"/>
              <c:yMode val="edge"/>
              <c:x val="2.3796046473211829E-2"/>
              <c:y val="1.8148434666212986E-2"/>
            </c:manualLayout>
          </c:layout>
          <c:overlay val="0"/>
          <c:spPr>
            <a:noFill/>
            <a:ln>
              <a:noFill/>
            </a:ln>
            <a:effectLst/>
          </c:spPr>
          <c:txPr>
            <a:bodyPr rot="-5400000" spcFirstLastPara="1" vertOverflow="ellipsis" vert="horz" wrap="square" anchor="ctr" anchorCtr="1"/>
            <a:lstStyle/>
            <a:p>
              <a:pPr algn="ctr" rtl="0">
                <a:defRPr sz="7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818643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en-US"/>
          </a:p>
        </c:txPr>
      </c:dTable>
      <c:spPr>
        <a:noFill/>
        <a:ln>
          <a:solidFill>
            <a:schemeClr val="bg1">
              <a:lumMod val="85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85027996293265"/>
          <c:y val="7.8840389749322948E-2"/>
          <c:w val="0.7991568380685089"/>
          <c:h val="0.54964056234915004"/>
        </c:manualLayout>
      </c:layout>
      <c:barChart>
        <c:barDir val="col"/>
        <c:grouping val="clustered"/>
        <c:varyColors val="0"/>
        <c:ser>
          <c:idx val="0"/>
          <c:order val="0"/>
          <c:tx>
            <c:strRef>
              <c:f>Sheet2!$L$4</c:f>
              <c:strCache>
                <c:ptCount val="1"/>
                <c:pt idx="0">
                  <c:v>Heart Disease</c:v>
                </c:pt>
              </c:strCache>
            </c:strRef>
          </c:tx>
          <c:spPr>
            <a:solidFill>
              <a:srgbClr val="9E480E"/>
            </a:solidFill>
            <a:ln>
              <a:noFill/>
            </a:ln>
            <a:effectLst/>
          </c:spPr>
          <c:invertIfNegative val="0"/>
          <c:cat>
            <c:strRef>
              <c:f>Sheet2!$K$5:$K$9</c:f>
              <c:strCache>
                <c:ptCount val="5"/>
                <c:pt idx="0">
                  <c:v>White</c:v>
                </c:pt>
                <c:pt idx="1">
                  <c:v>African American</c:v>
                </c:pt>
                <c:pt idx="2">
                  <c:v>Native American</c:v>
                </c:pt>
                <c:pt idx="3">
                  <c:v>Asian</c:v>
                </c:pt>
                <c:pt idx="4">
                  <c:v>Hispanic</c:v>
                </c:pt>
              </c:strCache>
            </c:strRef>
          </c:cat>
          <c:val>
            <c:numRef>
              <c:f>Sheet2!$L$5:$L$9</c:f>
              <c:numCache>
                <c:formatCode>General</c:formatCode>
                <c:ptCount val="5"/>
                <c:pt idx="0">
                  <c:v>206.7</c:v>
                </c:pt>
                <c:pt idx="1">
                  <c:v>286.8</c:v>
                </c:pt>
                <c:pt idx="2">
                  <c:v>143.80000000000001</c:v>
                </c:pt>
                <c:pt idx="3">
                  <c:v>141.5</c:v>
                </c:pt>
                <c:pt idx="4">
                  <c:v>128.6</c:v>
                </c:pt>
              </c:numCache>
            </c:numRef>
          </c:val>
          <c:extLst>
            <c:ext xmlns:c16="http://schemas.microsoft.com/office/drawing/2014/chart" uri="{C3380CC4-5D6E-409C-BE32-E72D297353CC}">
              <c16:uniqueId val="{00000000-83F1-402B-A4BF-C4CB970EF9DF}"/>
            </c:ext>
          </c:extLst>
        </c:ser>
        <c:ser>
          <c:idx val="1"/>
          <c:order val="1"/>
          <c:tx>
            <c:strRef>
              <c:f>Sheet2!$O$4</c:f>
              <c:strCache>
                <c:ptCount val="1"/>
                <c:pt idx="0">
                  <c:v>Cancer</c:v>
                </c:pt>
              </c:strCache>
            </c:strRef>
          </c:tx>
          <c:spPr>
            <a:solidFill>
              <a:srgbClr val="5B9BD5"/>
            </a:solidFill>
            <a:ln>
              <a:noFill/>
            </a:ln>
            <a:effectLst/>
          </c:spPr>
          <c:invertIfNegative val="0"/>
          <c:cat>
            <c:strRef>
              <c:f>Sheet2!$K$5:$K$9</c:f>
              <c:strCache>
                <c:ptCount val="5"/>
                <c:pt idx="0">
                  <c:v>White</c:v>
                </c:pt>
                <c:pt idx="1">
                  <c:v>African American</c:v>
                </c:pt>
                <c:pt idx="2">
                  <c:v>Native American</c:v>
                </c:pt>
                <c:pt idx="3">
                  <c:v>Asian</c:v>
                </c:pt>
                <c:pt idx="4">
                  <c:v>Hispanic</c:v>
                </c:pt>
              </c:strCache>
            </c:strRef>
          </c:cat>
          <c:val>
            <c:numRef>
              <c:f>Sheet2!$O$5:$O$9</c:f>
              <c:numCache>
                <c:formatCode>General</c:formatCode>
                <c:ptCount val="5"/>
                <c:pt idx="0">
                  <c:v>161.4</c:v>
                </c:pt>
                <c:pt idx="1">
                  <c:v>189.1</c:v>
                </c:pt>
                <c:pt idx="2">
                  <c:v>66.3</c:v>
                </c:pt>
                <c:pt idx="3">
                  <c:v>119.4</c:v>
                </c:pt>
                <c:pt idx="4">
                  <c:v>96.6</c:v>
                </c:pt>
              </c:numCache>
            </c:numRef>
          </c:val>
          <c:extLst>
            <c:ext xmlns:c16="http://schemas.microsoft.com/office/drawing/2014/chart" uri="{C3380CC4-5D6E-409C-BE32-E72D297353CC}">
              <c16:uniqueId val="{00000001-83F1-402B-A4BF-C4CB970EF9DF}"/>
            </c:ext>
          </c:extLst>
        </c:ser>
        <c:ser>
          <c:idx val="2"/>
          <c:order val="2"/>
          <c:tx>
            <c:strRef>
              <c:f>Sheet2!$R$4</c:f>
              <c:strCache>
                <c:ptCount val="1"/>
                <c:pt idx="0">
                  <c:v>Stroke</c:v>
                </c:pt>
              </c:strCache>
            </c:strRef>
          </c:tx>
          <c:spPr>
            <a:solidFill>
              <a:srgbClr val="70AD47"/>
            </a:solidFill>
            <a:ln>
              <a:noFill/>
            </a:ln>
            <a:effectLst/>
          </c:spPr>
          <c:invertIfNegative val="0"/>
          <c:cat>
            <c:strRef>
              <c:f>Sheet2!$K$5:$K$9</c:f>
              <c:strCache>
                <c:ptCount val="5"/>
                <c:pt idx="0">
                  <c:v>White</c:v>
                </c:pt>
                <c:pt idx="1">
                  <c:v>African American</c:v>
                </c:pt>
                <c:pt idx="2">
                  <c:v>Native American</c:v>
                </c:pt>
                <c:pt idx="3">
                  <c:v>Asian</c:v>
                </c:pt>
                <c:pt idx="4">
                  <c:v>Hispanic</c:v>
                </c:pt>
              </c:strCache>
            </c:strRef>
          </c:cat>
          <c:val>
            <c:numRef>
              <c:f>Sheet2!$R$5:$R$9</c:f>
              <c:numCache>
                <c:formatCode>General</c:formatCode>
                <c:ptCount val="5"/>
                <c:pt idx="0">
                  <c:v>35.4</c:v>
                </c:pt>
                <c:pt idx="1">
                  <c:v>64.400000000000006</c:v>
                </c:pt>
                <c:pt idx="2">
                  <c:v>32.9</c:v>
                </c:pt>
                <c:pt idx="3">
                  <c:v>44.2</c:v>
                </c:pt>
                <c:pt idx="4">
                  <c:v>26.4</c:v>
                </c:pt>
              </c:numCache>
            </c:numRef>
          </c:val>
          <c:extLst>
            <c:ext xmlns:c16="http://schemas.microsoft.com/office/drawing/2014/chart" uri="{C3380CC4-5D6E-409C-BE32-E72D297353CC}">
              <c16:uniqueId val="{00000002-83F1-402B-A4BF-C4CB970EF9DF}"/>
            </c:ext>
          </c:extLst>
        </c:ser>
        <c:dLbls>
          <c:showLegendKey val="0"/>
          <c:showVal val="0"/>
          <c:showCatName val="0"/>
          <c:showSerName val="0"/>
          <c:showPercent val="0"/>
          <c:showBubbleSize val="0"/>
        </c:dLbls>
        <c:gapWidth val="219"/>
        <c:overlap val="-27"/>
        <c:axId val="422897768"/>
        <c:axId val="422894160"/>
      </c:barChart>
      <c:catAx>
        <c:axId val="422897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2894160"/>
        <c:crosses val="autoZero"/>
        <c:auto val="1"/>
        <c:lblAlgn val="ctr"/>
        <c:lblOffset val="100"/>
        <c:noMultiLvlLbl val="0"/>
      </c:catAx>
      <c:valAx>
        <c:axId val="422894160"/>
        <c:scaling>
          <c:orientation val="minMax"/>
          <c:max val="300"/>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n-US" sz="700" b="0" i="0" baseline="0">
                    <a:solidFill>
                      <a:sysClr val="windowText" lastClr="000000"/>
                    </a:solidFill>
                    <a:effectLst/>
                  </a:rPr>
                  <a:t>Age-adjusted Mortality Rate </a:t>
                </a:r>
              </a:p>
              <a:p>
                <a:pPr>
                  <a:defRPr sz="800">
                    <a:solidFill>
                      <a:sysClr val="windowText" lastClr="000000"/>
                    </a:solidFill>
                  </a:defRPr>
                </a:pPr>
                <a:r>
                  <a:rPr lang="en-US" sz="700" b="0" i="0" baseline="0">
                    <a:solidFill>
                      <a:sysClr val="windowText" lastClr="000000"/>
                    </a:solidFill>
                    <a:effectLst/>
                  </a:rPr>
                  <a:t>(per 100,000 population)</a:t>
                </a:r>
                <a:endParaRPr lang="en-US" sz="700" b="0">
                  <a:solidFill>
                    <a:sysClr val="windowText" lastClr="000000"/>
                  </a:solidFill>
                  <a:effectLst/>
                </a:endParaRPr>
              </a:p>
            </c:rich>
          </c:tx>
          <c:layout>
            <c:manualLayout>
              <c:xMode val="edge"/>
              <c:yMode val="edge"/>
              <c:x val="5.003497908697141E-2"/>
              <c:y val="6.5308551547335655E-2"/>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4228977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en-US"/>
          </a:p>
        </c:txPr>
      </c:dTable>
      <c:spPr>
        <a:noFill/>
        <a:ln>
          <a:solidFill>
            <a:schemeClr val="bg1">
              <a:lumMod val="85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685246211571699E-2"/>
          <c:y val="9.1440340440773926E-2"/>
          <c:w val="0.37538155703911552"/>
          <c:h val="0.8162535640656704"/>
        </c:manualLayout>
      </c:layout>
      <c:pieChart>
        <c:varyColors val="1"/>
        <c:ser>
          <c:idx val="0"/>
          <c:order val="0"/>
          <c:tx>
            <c:strRef>
              <c:f>report_data!$B$41</c:f>
              <c:strCache>
                <c:ptCount val="1"/>
                <c:pt idx="0">
                  <c:v>2019</c:v>
                </c:pt>
              </c:strCache>
            </c:strRef>
          </c:tx>
          <c:dPt>
            <c:idx val="0"/>
            <c:bubble3D val="0"/>
            <c:explosion val="1"/>
            <c:spPr>
              <a:solidFill>
                <a:schemeClr val="accent2"/>
              </a:solidFill>
              <a:ln w="19050">
                <a:solidFill>
                  <a:schemeClr val="lt1"/>
                </a:solidFill>
              </a:ln>
              <a:effectLst/>
            </c:spPr>
            <c:extLst>
              <c:ext xmlns:c16="http://schemas.microsoft.com/office/drawing/2014/chart" uri="{C3380CC4-5D6E-409C-BE32-E72D297353CC}">
                <c16:uniqueId val="{00000001-EA64-4B77-9E25-865BA5C1BA64}"/>
              </c:ext>
            </c:extLst>
          </c:dPt>
          <c:dPt>
            <c:idx val="1"/>
            <c:bubble3D val="0"/>
            <c:spPr>
              <a:solidFill>
                <a:schemeClr val="tx1"/>
              </a:solidFill>
              <a:ln w="19050">
                <a:solidFill>
                  <a:schemeClr val="lt1"/>
                </a:solidFill>
              </a:ln>
              <a:effectLst/>
            </c:spPr>
            <c:extLst>
              <c:ext xmlns:c16="http://schemas.microsoft.com/office/drawing/2014/chart" uri="{C3380CC4-5D6E-409C-BE32-E72D297353CC}">
                <c16:uniqueId val="{00000003-EA64-4B77-9E25-865BA5C1BA64}"/>
              </c:ext>
            </c:extLst>
          </c:dPt>
          <c:dPt>
            <c:idx val="2"/>
            <c:bubble3D val="0"/>
            <c:spPr>
              <a:solidFill>
                <a:srgbClr val="7030A0"/>
              </a:solidFill>
              <a:ln w="19050">
                <a:solidFill>
                  <a:schemeClr val="lt1"/>
                </a:solidFill>
              </a:ln>
              <a:effectLst/>
            </c:spPr>
            <c:extLst>
              <c:ext xmlns:c16="http://schemas.microsoft.com/office/drawing/2014/chart" uri="{C3380CC4-5D6E-409C-BE32-E72D297353CC}">
                <c16:uniqueId val="{00000005-EA64-4B77-9E25-865BA5C1BA64}"/>
              </c:ext>
            </c:extLst>
          </c:dPt>
          <c:dPt>
            <c:idx val="3"/>
            <c:bubble3D val="0"/>
            <c:explosion val="8"/>
            <c:spPr>
              <a:solidFill>
                <a:schemeClr val="accent5">
                  <a:lumMod val="75000"/>
                </a:schemeClr>
              </a:solidFill>
              <a:ln w="19050">
                <a:solidFill>
                  <a:schemeClr val="lt1"/>
                </a:solidFill>
              </a:ln>
              <a:effectLst/>
            </c:spPr>
            <c:extLst>
              <c:ext xmlns:c16="http://schemas.microsoft.com/office/drawing/2014/chart" uri="{C3380CC4-5D6E-409C-BE32-E72D297353CC}">
                <c16:uniqueId val="{00000007-EA64-4B77-9E25-865BA5C1BA64}"/>
              </c:ext>
            </c:extLst>
          </c:dPt>
          <c:dPt>
            <c:idx val="4"/>
            <c:bubble3D val="0"/>
            <c:spPr>
              <a:solidFill>
                <a:srgbClr val="FFC000"/>
              </a:solidFill>
              <a:ln w="19050">
                <a:solidFill>
                  <a:schemeClr val="lt1"/>
                </a:solidFill>
              </a:ln>
              <a:effectLst/>
            </c:spPr>
            <c:extLst>
              <c:ext xmlns:c16="http://schemas.microsoft.com/office/drawing/2014/chart" uri="{C3380CC4-5D6E-409C-BE32-E72D297353CC}">
                <c16:uniqueId val="{00000009-EA64-4B77-9E25-865BA5C1BA64}"/>
              </c:ext>
            </c:extLst>
          </c:dPt>
          <c:dPt>
            <c:idx val="5"/>
            <c:bubble3D val="0"/>
            <c:spPr>
              <a:solidFill>
                <a:srgbClr val="70AD47"/>
              </a:solidFill>
              <a:ln w="19050">
                <a:solidFill>
                  <a:schemeClr val="lt1"/>
                </a:solidFill>
              </a:ln>
              <a:effectLst/>
            </c:spPr>
            <c:extLst>
              <c:ext xmlns:c16="http://schemas.microsoft.com/office/drawing/2014/chart" uri="{C3380CC4-5D6E-409C-BE32-E72D297353CC}">
                <c16:uniqueId val="{0000000B-EA64-4B77-9E25-865BA5C1BA64}"/>
              </c:ext>
            </c:extLst>
          </c:dPt>
          <c:dLbls>
            <c:dLbl>
              <c:idx val="0"/>
              <c:layout>
                <c:manualLayout>
                  <c:x val="-1.2791135003830043E-2"/>
                  <c:y val="2.1390969160639762E-7"/>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6.7456928919307421E-2"/>
                      <c:h val="7.3265704478828644E-2"/>
                    </c:manualLayout>
                  </c15:layout>
                </c:ext>
                <c:ext xmlns:c16="http://schemas.microsoft.com/office/drawing/2014/chart" uri="{C3380CC4-5D6E-409C-BE32-E72D297353CC}">
                  <c16:uniqueId val="{00000001-EA64-4B77-9E25-865BA5C1BA64}"/>
                </c:ext>
              </c:extLst>
            </c:dLbl>
            <c:dLbl>
              <c:idx val="1"/>
              <c:layout>
                <c:manualLayout>
                  <c:x val="1.8768589509133404E-2"/>
                  <c:y val="-8.4143516290292562E-3"/>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8.0172641907499967E-2"/>
                      <c:h val="7.0561174966874834E-2"/>
                    </c:manualLayout>
                  </c15:layout>
                </c:ext>
                <c:ext xmlns:c16="http://schemas.microsoft.com/office/drawing/2014/chart" uri="{C3380CC4-5D6E-409C-BE32-E72D297353CC}">
                  <c16:uniqueId val="{00000003-EA64-4B77-9E25-865BA5C1BA64}"/>
                </c:ext>
              </c:extLst>
            </c:dLbl>
            <c:dLbl>
              <c:idx val="2"/>
              <c:layout>
                <c:manualLayout>
                  <c:x val="-9.1474555263925408E-2"/>
                  <c:y val="0.15835888301505294"/>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8.0097841936424594E-2"/>
                      <c:h val="5.5747850968380579E-2"/>
                    </c:manualLayout>
                  </c15:layout>
                </c:ext>
                <c:ext xmlns:c16="http://schemas.microsoft.com/office/drawing/2014/chart" uri="{C3380CC4-5D6E-409C-BE32-E72D297353CC}">
                  <c16:uniqueId val="{00000005-EA64-4B77-9E25-865BA5C1BA64}"/>
                </c:ext>
              </c:extLst>
            </c:dLbl>
            <c:dLbl>
              <c:idx val="3"/>
              <c:layout>
                <c:manualLayout>
                  <c:x val="3.022331583552056E-2"/>
                  <c:y val="-0.24606073552995406"/>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9.6693914623069935E-2"/>
                      <c:h val="9.4901940574459095E-2"/>
                    </c:manualLayout>
                  </c15:layout>
                </c:ext>
                <c:ext xmlns:c16="http://schemas.microsoft.com/office/drawing/2014/chart" uri="{C3380CC4-5D6E-409C-BE32-E72D297353CC}">
                  <c16:uniqueId val="{00000007-EA64-4B77-9E25-865BA5C1BA64}"/>
                </c:ext>
              </c:extLst>
            </c:dLbl>
            <c:dLbl>
              <c:idx val="4"/>
              <c:layout>
                <c:manualLayout>
                  <c:x val="7.2724203818687078E-2"/>
                  <c:y val="9.8945718334692304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7.412542717659841E-2"/>
                      <c:h val="6.1802147677661817E-2"/>
                    </c:manualLayout>
                  </c15:layout>
                </c:ext>
                <c:ext xmlns:c16="http://schemas.microsoft.com/office/drawing/2014/chart" uri="{C3380CC4-5D6E-409C-BE32-E72D297353CC}">
                  <c16:uniqueId val="{00000009-EA64-4B77-9E25-865BA5C1BA64}"/>
                </c:ext>
              </c:extLst>
            </c:dLbl>
            <c:dLbl>
              <c:idx val="5"/>
              <c:layout>
                <c:manualLayout>
                  <c:x val="6.5216389617964388E-2"/>
                  <c:y val="0.14582379294678346"/>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8.2055701370661996E-2"/>
                      <c:h val="6.4506753239719689E-2"/>
                    </c:manualLayout>
                  </c15:layout>
                </c:ext>
                <c:ext xmlns:c16="http://schemas.microsoft.com/office/drawing/2014/chart" uri="{C3380CC4-5D6E-409C-BE32-E72D297353CC}">
                  <c16:uniqueId val="{0000000B-EA64-4B77-9E25-865BA5C1BA6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report_data!$C$40:$H$40</c:f>
              <c:strCache>
                <c:ptCount val="6"/>
                <c:pt idx="0">
                  <c:v>Other</c:v>
                </c:pt>
                <c:pt idx="1">
                  <c:v>Elective Carotid Intervention only</c:v>
                </c:pt>
                <c:pt idx="2">
                  <c:v>Intracerebral Hemorrhage</c:v>
                </c:pt>
                <c:pt idx="3">
                  <c:v>Ischemic stroke</c:v>
                </c:pt>
                <c:pt idx="4">
                  <c:v>Subarachnoid Hemorrhage</c:v>
                </c:pt>
                <c:pt idx="5">
                  <c:v>Transient ischemic attack (&lt;24 hours)</c:v>
                </c:pt>
              </c:strCache>
            </c:strRef>
          </c:cat>
          <c:val>
            <c:numRef>
              <c:f>report_data!$C$41:$H$41</c:f>
              <c:numCache>
                <c:formatCode>0.0%</c:formatCode>
                <c:ptCount val="6"/>
                <c:pt idx="0">
                  <c:v>3.3000000000000002E-2</c:v>
                </c:pt>
                <c:pt idx="1">
                  <c:v>8.9999999999999993E-3</c:v>
                </c:pt>
                <c:pt idx="2">
                  <c:v>0.14000000000000001</c:v>
                </c:pt>
                <c:pt idx="3">
                  <c:v>0.66700000000000004</c:v>
                </c:pt>
                <c:pt idx="4">
                  <c:v>5.0999999999999997E-2</c:v>
                </c:pt>
                <c:pt idx="5">
                  <c:v>0.1</c:v>
                </c:pt>
              </c:numCache>
            </c:numRef>
          </c:val>
          <c:extLst>
            <c:ext xmlns:c16="http://schemas.microsoft.com/office/drawing/2014/chart" uri="{C3380CC4-5D6E-409C-BE32-E72D297353CC}">
              <c16:uniqueId val="{0000000C-EA64-4B77-9E25-865BA5C1BA6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39969998179714122"/>
          <c:y val="7.8092866753513998E-2"/>
          <c:w val="0.57807176897428714"/>
          <c:h val="0.83973124049149028"/>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9544753080779"/>
          <c:y val="0.14303390647597619"/>
          <c:w val="0.8639918840591253"/>
          <c:h val="0.6313460002282324"/>
        </c:manualLayout>
      </c:layout>
      <c:barChart>
        <c:barDir val="col"/>
        <c:grouping val="clustered"/>
        <c:varyColors val="0"/>
        <c:ser>
          <c:idx val="0"/>
          <c:order val="0"/>
          <c:tx>
            <c:strRef>
              <c:f>report_data!$J$4</c:f>
              <c:strCache>
                <c:ptCount val="1"/>
                <c:pt idx="0">
                  <c:v>Male</c:v>
                </c:pt>
              </c:strCache>
            </c:strRef>
          </c:tx>
          <c:spPr>
            <a:solidFill>
              <a:schemeClr val="accent5">
                <a:lumMod val="75000"/>
              </a:schemeClr>
            </a:solidFill>
            <a:ln>
              <a:noFill/>
            </a:ln>
            <a:effectLst/>
          </c:spPr>
          <c:invertIfNegative val="0"/>
          <c:dLbls>
            <c:dLbl>
              <c:idx val="0"/>
              <c:layout>
                <c:manualLayout>
                  <c:x val="-1.1267570720326626E-2"/>
                  <c:y val="-3.279392401531203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EE5-475E-9B96-BF59644589A9}"/>
                </c:ext>
              </c:extLst>
            </c:dLbl>
            <c:dLbl>
              <c:idx val="1"/>
              <c:layout>
                <c:manualLayout>
                  <c:x val="-9.0801983085447655E-3"/>
                  <c:y val="-2.214839424141753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EE5-475E-9B96-BF59644589A9}"/>
                </c:ext>
              </c:extLst>
            </c:dLbl>
            <c:dLbl>
              <c:idx val="2"/>
              <c:layout>
                <c:manualLayout>
                  <c:x val="-6.345207747705992E-3"/>
                  <c:y val="-2.93609791103077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EE5-475E-9B96-BF59644589A9}"/>
                </c:ext>
              </c:extLst>
            </c:dLbl>
            <c:dLbl>
              <c:idx val="3"/>
              <c:layout>
                <c:manualLayout>
                  <c:x val="-1.4006761286944277E-2"/>
                  <c:y val="-1.928628323276063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EE5-475E-9B96-BF59644589A9}"/>
                </c:ext>
              </c:extLst>
            </c:dLbl>
            <c:dLbl>
              <c:idx val="4"/>
              <c:layout>
                <c:manualLayout>
                  <c:x val="-1.0896213565785889E-2"/>
                  <c:y val="-9.64319910219538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EE5-475E-9B96-BF59644589A9}"/>
                </c:ext>
              </c:extLst>
            </c:dLbl>
            <c:dLbl>
              <c:idx val="5"/>
              <c:layout>
                <c:manualLayout>
                  <c:x val="-1.8161309302767803E-3"/>
                  <c:y val="-5.131870652090820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EE5-475E-9B96-BF59644589A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spPr>
              <a:noFill/>
              <a:ln w="9525" cap="flat" cmpd="sng" algn="ctr">
                <a:solidFill>
                  <a:schemeClr val="tx1">
                    <a:lumMod val="65000"/>
                    <a:lumOff val="35000"/>
                  </a:schemeClr>
                </a:solidFill>
                <a:round/>
              </a:ln>
              <a:effectLst/>
            </c:spPr>
          </c:errBars>
          <c:cat>
            <c:strRef>
              <c:f>report_data!$H$5:$I$10</c:f>
              <c:strCache>
                <c:ptCount val="6"/>
                <c:pt idx="0">
                  <c:v>2014</c:v>
                </c:pt>
                <c:pt idx="1">
                  <c:v>2015</c:v>
                </c:pt>
                <c:pt idx="2">
                  <c:v>2016</c:v>
                </c:pt>
                <c:pt idx="3">
                  <c:v>2017</c:v>
                </c:pt>
                <c:pt idx="4">
                  <c:v>2018</c:v>
                </c:pt>
                <c:pt idx="5">
                  <c:v>2019</c:v>
                </c:pt>
              </c:strCache>
            </c:strRef>
          </c:cat>
          <c:val>
            <c:numRef>
              <c:f>report_data!$J$5:$J$10</c:f>
              <c:numCache>
                <c:formatCode>0.00</c:formatCode>
                <c:ptCount val="6"/>
                <c:pt idx="0">
                  <c:v>141.8896959920236</c:v>
                </c:pt>
                <c:pt idx="1">
                  <c:v>155.16803071137028</c:v>
                </c:pt>
                <c:pt idx="2">
                  <c:v>174.01491436404916</c:v>
                </c:pt>
                <c:pt idx="3">
                  <c:v>177.58476884670191</c:v>
                </c:pt>
                <c:pt idx="4">
                  <c:v>180.28105393784813</c:v>
                </c:pt>
                <c:pt idx="5">
                  <c:v>187.60919175104101</c:v>
                </c:pt>
              </c:numCache>
            </c:numRef>
          </c:val>
          <c:extLst>
            <c:ext xmlns:c16="http://schemas.microsoft.com/office/drawing/2014/chart" uri="{C3380CC4-5D6E-409C-BE32-E72D297353CC}">
              <c16:uniqueId val="{00000006-6EE5-475E-9B96-BF59644589A9}"/>
            </c:ext>
          </c:extLst>
        </c:ser>
        <c:ser>
          <c:idx val="1"/>
          <c:order val="1"/>
          <c:tx>
            <c:strRef>
              <c:f>report_data!$K$4</c:f>
              <c:strCache>
                <c:ptCount val="1"/>
                <c:pt idx="0">
                  <c:v>Female</c:v>
                </c:pt>
              </c:strCache>
            </c:strRef>
          </c:tx>
          <c:spPr>
            <a:solidFill>
              <a:srgbClr val="70AD47"/>
            </a:solidFill>
            <a:ln>
              <a:noFill/>
            </a:ln>
            <a:effectLst/>
          </c:spPr>
          <c:invertIfNegative val="0"/>
          <c:dLbls>
            <c:dLbl>
              <c:idx val="0"/>
              <c:layout>
                <c:manualLayout>
                  <c:x val="8.00237485592252E-3"/>
                  <c:y val="-8.0522642785045798E-2"/>
                </c:manualLayout>
              </c:layout>
              <c:spPr>
                <a:noFill/>
                <a:ln>
                  <a:noFill/>
                </a:ln>
                <a:effectLst/>
              </c:spPr>
              <c:txPr>
                <a:bodyPr rot="0" spcFirstLastPara="1" vertOverflow="ellipsis" vert="horz" wrap="square" lIns="38100" tIns="19050" rIns="38100" bIns="19050" anchor="ctr" anchorCtr="0">
                  <a:noAutofit/>
                </a:bodyPr>
                <a:lstStyle/>
                <a:p>
                  <a:pPr algn="ct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manualLayout>
                      <c:w val="7.5068669899635912E-2"/>
                      <c:h val="6.822494074053892E-2"/>
                    </c:manualLayout>
                  </c15:layout>
                </c:ext>
                <c:ext xmlns:c16="http://schemas.microsoft.com/office/drawing/2014/chart" uri="{C3380CC4-5D6E-409C-BE32-E72D297353CC}">
                  <c16:uniqueId val="{00000007-6EE5-475E-9B96-BF59644589A9}"/>
                </c:ext>
              </c:extLst>
            </c:dLbl>
            <c:dLbl>
              <c:idx val="1"/>
              <c:layout>
                <c:manualLayout>
                  <c:x val="7.4497989481263167E-3"/>
                  <c:y val="-5.806205010468274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EE5-475E-9B96-BF59644589A9}"/>
                </c:ext>
              </c:extLst>
            </c:dLbl>
            <c:dLbl>
              <c:idx val="2"/>
              <c:layout>
                <c:manualLayout>
                  <c:x val="5.6338582677165358E-3"/>
                  <c:y val="-2.936109730469738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EE5-475E-9B96-BF59644589A9}"/>
                </c:ext>
              </c:extLst>
            </c:dLbl>
            <c:dLbl>
              <c:idx val="3"/>
              <c:layout>
                <c:manualLayout>
                  <c:x val="7.2642262112203402E-3"/>
                  <c:y val="-4.466019417475727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EE5-475E-9B96-BF59644589A9}"/>
                </c:ext>
              </c:extLst>
            </c:dLbl>
            <c:dLbl>
              <c:idx val="4"/>
              <c:layout>
                <c:manualLayout>
                  <c:x val="8.9867445517861147E-3"/>
                  <c:y val="-4.739057633455073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EE5-475E-9B96-BF59644589A9}"/>
                </c:ext>
              </c:extLst>
            </c:dLbl>
            <c:dLbl>
              <c:idx val="5"/>
              <c:layout>
                <c:manualLayout>
                  <c:x val="8.6647027257893174E-3"/>
                  <c:y val="-6.472491909385128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EE5-475E-9B96-BF59644589A9}"/>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spPr>
              <a:noFill/>
              <a:ln w="9525" cap="flat" cmpd="sng" algn="ctr">
                <a:solidFill>
                  <a:schemeClr val="tx1">
                    <a:lumMod val="65000"/>
                    <a:lumOff val="35000"/>
                  </a:schemeClr>
                </a:solidFill>
                <a:round/>
              </a:ln>
              <a:effectLst/>
            </c:spPr>
          </c:errBars>
          <c:cat>
            <c:strRef>
              <c:f>report_data!$H$5:$I$10</c:f>
              <c:strCache>
                <c:ptCount val="6"/>
                <c:pt idx="0">
                  <c:v>2014</c:v>
                </c:pt>
                <c:pt idx="1">
                  <c:v>2015</c:v>
                </c:pt>
                <c:pt idx="2">
                  <c:v>2016</c:v>
                </c:pt>
                <c:pt idx="3">
                  <c:v>2017</c:v>
                </c:pt>
                <c:pt idx="4">
                  <c:v>2018</c:v>
                </c:pt>
                <c:pt idx="5">
                  <c:v>2019</c:v>
                </c:pt>
              </c:strCache>
            </c:strRef>
          </c:cat>
          <c:val>
            <c:numRef>
              <c:f>report_data!$K$5:$K$10</c:f>
              <c:numCache>
                <c:formatCode>0.00</c:formatCode>
                <c:ptCount val="6"/>
                <c:pt idx="0">
                  <c:v>147.14722021475689</c:v>
                </c:pt>
                <c:pt idx="1">
                  <c:v>155.301796255087</c:v>
                </c:pt>
                <c:pt idx="2">
                  <c:v>196.18631724920891</c:v>
                </c:pt>
                <c:pt idx="3">
                  <c:v>177.87451919471141</c:v>
                </c:pt>
                <c:pt idx="4">
                  <c:v>180.33397877974508</c:v>
                </c:pt>
                <c:pt idx="5">
                  <c:v>187.5329420692556</c:v>
                </c:pt>
              </c:numCache>
            </c:numRef>
          </c:val>
          <c:extLst>
            <c:ext xmlns:c16="http://schemas.microsoft.com/office/drawing/2014/chart" uri="{C3380CC4-5D6E-409C-BE32-E72D297353CC}">
              <c16:uniqueId val="{0000000D-6EE5-475E-9B96-BF59644589A9}"/>
            </c:ext>
          </c:extLst>
        </c:ser>
        <c:dLbls>
          <c:dLblPos val="outEnd"/>
          <c:showLegendKey val="0"/>
          <c:showVal val="1"/>
          <c:showCatName val="0"/>
          <c:showSerName val="0"/>
          <c:showPercent val="0"/>
          <c:showBubbleSize val="0"/>
        </c:dLbls>
        <c:gapWidth val="219"/>
        <c:overlap val="-27"/>
        <c:axId val="383845688"/>
        <c:axId val="383842080"/>
      </c:barChart>
      <c:catAx>
        <c:axId val="383845688"/>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383842080"/>
        <c:crosses val="autoZero"/>
        <c:auto val="0"/>
        <c:lblAlgn val="ctr"/>
        <c:lblOffset val="100"/>
        <c:noMultiLvlLbl val="0"/>
      </c:catAx>
      <c:valAx>
        <c:axId val="383842080"/>
        <c:scaling>
          <c:orientation val="minMax"/>
          <c:max val="205"/>
          <c:min val="0"/>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US" sz="700" b="0" i="0" baseline="0">
                    <a:solidFill>
                      <a:sysClr val="windowText" lastClr="000000"/>
                    </a:solidFill>
                    <a:effectLst/>
                  </a:rPr>
                  <a:t>Crude Rate</a:t>
                </a:r>
                <a:endParaRPr lang="en-US" sz="700">
                  <a:solidFill>
                    <a:sysClr val="windowText" lastClr="000000"/>
                  </a:solidFill>
                  <a:effectLst/>
                </a:endParaRPr>
              </a:p>
              <a:p>
                <a:pPr>
                  <a:defRPr sz="700"/>
                </a:pPr>
                <a:r>
                  <a:rPr lang="en-US" sz="700" b="0" i="0" baseline="0">
                    <a:solidFill>
                      <a:sysClr val="windowText" lastClr="000000"/>
                    </a:solidFill>
                    <a:effectLst/>
                  </a:rPr>
                  <a:t>(per 100,000 population)</a:t>
                </a:r>
                <a:endParaRPr lang="en-US" sz="700">
                  <a:solidFill>
                    <a:sysClr val="windowText" lastClr="000000"/>
                  </a:solidFill>
                  <a:effectLst/>
                </a:endParaRPr>
              </a:p>
            </c:rich>
          </c:tx>
          <c:layout>
            <c:manualLayout>
              <c:xMode val="edge"/>
              <c:yMode val="edge"/>
              <c:x val="1.1975095762340581E-2"/>
              <c:y val="0.20934695430729153"/>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83845688"/>
        <c:crosses val="autoZero"/>
        <c:crossBetween val="between"/>
        <c:majorUnit val="15"/>
      </c:valAx>
      <c:spPr>
        <a:noFill/>
        <a:ln>
          <a:noFill/>
        </a:ln>
        <a:effectLst/>
      </c:spPr>
    </c:plotArea>
    <c:legend>
      <c:legendPos val="r"/>
      <c:layout>
        <c:manualLayout>
          <c:xMode val="edge"/>
          <c:yMode val="edge"/>
          <c:x val="0.37503595582342814"/>
          <c:y val="0.90598603555634816"/>
          <c:w val="0.25471595217264514"/>
          <c:h val="6.7327177873044888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4406497393553"/>
          <c:y val="0.10407489386407344"/>
          <c:w val="0.81155739457847342"/>
          <c:h val="0.76101939696562315"/>
        </c:manualLayout>
      </c:layout>
      <c:barChart>
        <c:barDir val="col"/>
        <c:grouping val="clustered"/>
        <c:varyColors val="0"/>
        <c:ser>
          <c:idx val="0"/>
          <c:order val="0"/>
          <c:tx>
            <c:strRef>
              <c:f>report_data!$K$28:$L$28</c:f>
              <c:strCache>
                <c:ptCount val="2"/>
                <c:pt idx="0">
                  <c:v>Year</c:v>
                </c:pt>
                <c:pt idx="1">
                  <c:v>2019</c:v>
                </c:pt>
              </c:strCache>
            </c:strRef>
          </c:tx>
          <c:spPr>
            <a:solidFill>
              <a:srgbClr val="4472C4"/>
            </a:solidFill>
            <a:ln w="25400">
              <a:noFill/>
            </a:ln>
          </c:spPr>
          <c:invertIfNegative val="0"/>
          <c:dPt>
            <c:idx val="0"/>
            <c:invertIfNegative val="0"/>
            <c:bubble3D val="0"/>
            <c:spPr>
              <a:solidFill>
                <a:srgbClr val="ED7D31"/>
              </a:solidFill>
              <a:ln w="25400">
                <a:noFill/>
              </a:ln>
            </c:spPr>
            <c:extLst>
              <c:ext xmlns:c16="http://schemas.microsoft.com/office/drawing/2014/chart" uri="{C3380CC4-5D6E-409C-BE32-E72D297353CC}">
                <c16:uniqueId val="{00000000-63C8-4BDD-8957-38FD4F659C13}"/>
              </c:ext>
            </c:extLst>
          </c:dPt>
          <c:dPt>
            <c:idx val="1"/>
            <c:invertIfNegative val="0"/>
            <c:bubble3D val="0"/>
            <c:spPr>
              <a:solidFill>
                <a:srgbClr val="636363"/>
              </a:solidFill>
              <a:ln w="25400">
                <a:noFill/>
              </a:ln>
            </c:spPr>
            <c:extLst>
              <c:ext xmlns:c16="http://schemas.microsoft.com/office/drawing/2014/chart" uri="{C3380CC4-5D6E-409C-BE32-E72D297353CC}">
                <c16:uniqueId val="{00000001-63C8-4BDD-8957-38FD4F659C13}"/>
              </c:ext>
            </c:extLst>
          </c:dPt>
          <c:dPt>
            <c:idx val="2"/>
            <c:invertIfNegative val="0"/>
            <c:bubble3D val="0"/>
            <c:spPr>
              <a:solidFill>
                <a:srgbClr val="70AD47"/>
              </a:solidFill>
              <a:ln w="25400">
                <a:noFill/>
              </a:ln>
            </c:spPr>
            <c:extLst>
              <c:ext xmlns:c16="http://schemas.microsoft.com/office/drawing/2014/chart" uri="{C3380CC4-5D6E-409C-BE32-E72D297353CC}">
                <c16:uniqueId val="{00000002-63C8-4BDD-8957-38FD4F659C13}"/>
              </c:ext>
            </c:extLst>
          </c:dPt>
          <c:dPt>
            <c:idx val="3"/>
            <c:invertIfNegative val="0"/>
            <c:bubble3D val="0"/>
            <c:spPr>
              <a:solidFill>
                <a:srgbClr val="5B9BD5"/>
              </a:solidFill>
              <a:ln w="25400">
                <a:noFill/>
              </a:ln>
            </c:spPr>
            <c:extLst>
              <c:ext xmlns:c16="http://schemas.microsoft.com/office/drawing/2014/chart" uri="{C3380CC4-5D6E-409C-BE32-E72D297353CC}">
                <c16:uniqueId val="{00000003-63C8-4BDD-8957-38FD4F659C13}"/>
              </c:ext>
            </c:extLst>
          </c:dPt>
          <c:dLbls>
            <c:dLbl>
              <c:idx val="0"/>
              <c:layout>
                <c:manualLayout>
                  <c:x val="-1.7849174475680499E-3"/>
                  <c:y val="-0.1416831321134255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3C8-4BDD-8957-38FD4F659C13}"/>
                </c:ext>
              </c:extLst>
            </c:dLbl>
            <c:dLbl>
              <c:idx val="1"/>
              <c:layout>
                <c:manualLayout>
                  <c:x val="0"/>
                  <c:y val="-0.1374338619974089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3C8-4BDD-8957-38FD4F659C13}"/>
                </c:ext>
              </c:extLst>
            </c:dLbl>
            <c:dLbl>
              <c:idx val="2"/>
              <c:layout>
                <c:manualLayout>
                  <c:x val="-1.7849174475680499E-3"/>
                  <c:y val="-0.1424657345229050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3C8-4BDD-8957-38FD4F659C13}"/>
                </c:ext>
              </c:extLst>
            </c:dLbl>
            <c:dLbl>
              <c:idx val="3"/>
              <c:layout>
                <c:manualLayout>
                  <c:x val="-1.1106612958729088E-3"/>
                  <c:y val="-0.1054432932725514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3C8-4BDD-8957-38FD4F659C13}"/>
                </c:ext>
              </c:extLst>
            </c:dLbl>
            <c:spPr>
              <a:noFill/>
              <a:ln w="25400">
                <a:noFill/>
              </a:ln>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plus"/>
            <c:errValType val="stdErr"/>
            <c:noEndCap val="0"/>
          </c:errBars>
          <c:cat>
            <c:strRef>
              <c:f>report_data!$M$27:$P$27</c:f>
              <c:strCache>
                <c:ptCount val="4"/>
                <c:pt idx="0">
                  <c:v>18 - 45</c:v>
                </c:pt>
                <c:pt idx="1">
                  <c:v>46 - 65</c:v>
                </c:pt>
                <c:pt idx="2">
                  <c:v>66 - 85</c:v>
                </c:pt>
                <c:pt idx="3">
                  <c:v>&gt;85</c:v>
                </c:pt>
              </c:strCache>
            </c:strRef>
          </c:cat>
          <c:val>
            <c:numRef>
              <c:f>report_data!$M$28:$P$28</c:f>
              <c:numCache>
                <c:formatCode>General</c:formatCode>
                <c:ptCount val="4"/>
                <c:pt idx="0">
                  <c:v>33.18</c:v>
                </c:pt>
                <c:pt idx="1">
                  <c:v>258.49</c:v>
                </c:pt>
                <c:pt idx="2">
                  <c:v>711.84</c:v>
                </c:pt>
                <c:pt idx="3">
                  <c:v>1487.26</c:v>
                </c:pt>
              </c:numCache>
            </c:numRef>
          </c:val>
          <c:extLst>
            <c:ext xmlns:c16="http://schemas.microsoft.com/office/drawing/2014/chart" uri="{C3380CC4-5D6E-409C-BE32-E72D297353CC}">
              <c16:uniqueId val="{00000004-63C8-4BDD-8957-38FD4F659C13}"/>
            </c:ext>
          </c:extLst>
        </c:ser>
        <c:dLbls>
          <c:showLegendKey val="0"/>
          <c:showVal val="0"/>
          <c:showCatName val="0"/>
          <c:showSerName val="0"/>
          <c:showPercent val="0"/>
          <c:showBubbleSize val="0"/>
        </c:dLbls>
        <c:gapWidth val="219"/>
        <c:overlap val="-27"/>
        <c:axId val="751344608"/>
        <c:axId val="1"/>
      </c:barChart>
      <c:catAx>
        <c:axId val="75134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
        <c:crosses val="autoZero"/>
        <c:auto val="1"/>
        <c:lblAlgn val="ctr"/>
        <c:lblOffset val="100"/>
        <c:noMultiLvlLbl val="0"/>
      </c:catAx>
      <c:valAx>
        <c:axId val="1"/>
        <c:scaling>
          <c:orientation val="minMax"/>
          <c:max val="1800"/>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US" sz="700" b="0" i="0" baseline="0">
                    <a:solidFill>
                      <a:sysClr val="windowText" lastClr="000000"/>
                    </a:solidFill>
                    <a:effectLst/>
                  </a:rPr>
                  <a:t>Crude Rate</a:t>
                </a:r>
                <a:endParaRPr lang="en-US" sz="700">
                  <a:solidFill>
                    <a:sysClr val="windowText" lastClr="000000"/>
                  </a:solidFill>
                  <a:effectLst/>
                </a:endParaRPr>
              </a:p>
              <a:p>
                <a:pPr>
                  <a:defRPr sz="700" b="0" i="0" u="none" strike="noStrike" kern="1200" baseline="0">
                    <a:solidFill>
                      <a:schemeClr val="tx1">
                        <a:lumMod val="65000"/>
                        <a:lumOff val="35000"/>
                      </a:schemeClr>
                    </a:solidFill>
                    <a:latin typeface="+mn-lt"/>
                    <a:ea typeface="+mn-ea"/>
                    <a:cs typeface="+mn-cs"/>
                  </a:defRPr>
                </a:pPr>
                <a:r>
                  <a:rPr lang="en-US" sz="700" b="0" i="0" baseline="0">
                    <a:solidFill>
                      <a:sysClr val="windowText" lastClr="000000"/>
                    </a:solidFill>
                    <a:effectLst/>
                  </a:rPr>
                  <a:t>(per 100,000 population)</a:t>
                </a:r>
                <a:endParaRPr lang="en-US" sz="700">
                  <a:solidFill>
                    <a:sysClr val="windowText" lastClr="000000"/>
                  </a:solidFill>
                  <a:effectLst/>
                </a:endParaRPr>
              </a:p>
            </c:rich>
          </c:tx>
          <c:layout>
            <c:manualLayout>
              <c:xMode val="edge"/>
              <c:yMode val="edge"/>
              <c:x val="2.7238369823732376E-2"/>
              <c:y val="0.15730327826668725"/>
            </c:manualLayout>
          </c:layout>
          <c:overlay val="0"/>
          <c:spPr>
            <a:noFill/>
            <a:ln w="25400">
              <a:noFill/>
            </a:ln>
          </c:spPr>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5134460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EE009E865A944DB09750EDDC258783" ma:contentTypeVersion="13" ma:contentTypeDescription="Create a new document." ma:contentTypeScope="" ma:versionID="052d5dc6c92f8f974462c5c267bb0e47">
  <xsd:schema xmlns:xsd="http://www.w3.org/2001/XMLSchema" xmlns:xs="http://www.w3.org/2001/XMLSchema" xmlns:p="http://schemas.microsoft.com/office/2006/metadata/properties" xmlns:ns1="http://schemas.microsoft.com/sharepoint/v3" xmlns:ns3="a495067d-e146-4a86-b6c4-2bb2f56a4fc0" xmlns:ns4="decf439b-844c-422a-8c0e-8cb0c3622111" targetNamespace="http://schemas.microsoft.com/office/2006/metadata/properties" ma:root="true" ma:fieldsID="100a3b30afd6b7a0fd904e1515ffb18a" ns1:_="" ns3:_="" ns4:_="">
    <xsd:import namespace="http://schemas.microsoft.com/sharepoint/v3"/>
    <xsd:import namespace="a495067d-e146-4a86-b6c4-2bb2f56a4fc0"/>
    <xsd:import namespace="decf439b-844c-422a-8c0e-8cb0c36221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95067d-e146-4a86-b6c4-2bb2f56a4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cf439b-844c-422a-8c0e-8cb0c36221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Version="7">
  <b:Source>
    <b:Tag>Cen15</b:Tag>
    <b:SourceType>InternetSite</b:SourceType>
    <b:Guid>{475FC86A-60B0-4EF3-87CE-D6276894D462}</b:Guid>
    <b:Year>2015</b:Year>
    <b:Author>
      <b:Author>
        <b:NameList>
          <b:Person>
            <b:Last>CDC</b:Last>
          </b:Person>
        </b:NameList>
      </b:Author>
    </b:Author>
    <b:InternetSiteTitle>Behavioral Risk Factor Surveillence System</b:InternetSiteTitle>
    <b:URL>https://nccd.cdc.gov/BRFSSPrevalence/rdPage.aspx?rdReport=DPH_BRFSS.ExploreByLocation&amp;rdProcessAction=&amp;SaveFileGenerated=1&amp;irbLocationType=States&amp;islLocation=32&amp;islClass=CLASS10&amp;islTopic=Topic31&amp;islYear=2015&amp;hidLocationType=States&amp;hidLocation=32&amp;hidClass=</b:URL>
    <b:RefOrder>1</b:RefOrder>
  </b:Source>
  <b:Source>
    <b:Tag>Max19</b:Tag>
    <b:SourceType>Book</b:SourceType>
    <b:Guid>{14B6EB8E-DC27-46A0-B4FD-9B4986811CCE}</b:Guid>
    <b:Title>Current Medical Diagnosis and Treatment</b:Title>
    <b:Year>2019</b:Year>
    <b:Publisher>McGraw-Hill Education</b:Publisher>
    <b:City>New York</b:City>
    <b:Author>
      <b:Author>
        <b:NameList>
          <b:Person>
            <b:Last>Maxine Papadakis</b:Last>
            <b:First>Stephen</b:First>
            <b:Middle>McPhee</b:Middle>
          </b:Person>
        </b:NameList>
      </b:Author>
    </b:Author>
    <b:Pages>979</b:Pages>
    <b:RefOrder>2</b:RefOrder>
  </b:Source>
  <b:Source>
    <b:Tag>PMT19</b:Tag>
    <b:SourceType>DocumentFromInternetSite</b:SourceType>
    <b:Guid>{FCF766FC-27B1-492B-A06A-5D5CDC3F865D}</b:Guid>
    <b:Title>Quality Measure Description</b:Title>
    <b:Year>2019</b:Year>
    <b:Month>January</b:Month>
    <b:InternetSiteTitle>Get With the Guidelines Community Page</b:InternetSiteTitle>
    <b:URL>https://osstatic.irp.iqvia.com/online_doc_qi/StrokePMT/measure/Quality%20Measure%20Descriptions.html</b:URL>
    <b:Author>
      <b:Author>
        <b:NameList>
          <b:Person>
            <b:Last>PMT</b:Last>
            <b:First>Get</b:First>
            <b:Middle>With the Guidelines-Stroke</b:Middle>
          </b:Person>
        </b:NameList>
      </b:Author>
    </b:Author>
    <b:RefOrder>3</b:RefOrder>
  </b:Source>
  <b:Source>
    <b:Tag>Edw19</b:Tag>
    <b:SourceType>InternetSite</b:SourceType>
    <b:Guid>{0330B28C-D6E2-4E90-BEAA-D102DCFF6A67}</b:Guid>
    <b:Title>Stroke Clinical Presentation</b:Title>
    <b:InternetSiteTitle>Medscape</b:InternetSiteTitle>
    <b:Year>2019</b:Year>
    <b:Month>March</b:Month>
    <b:Day>28</b:Day>
    <b:URL>https://emedicine.medscape.com/article/1916852-clinical</b:URL>
    <b:Author>
      <b:Author>
        <b:NameList>
          <b:Person>
            <b:Last>Jauch</b:Last>
            <b:First>Edward</b:First>
          </b:Person>
        </b:NameList>
      </b:Author>
    </b:Author>
    <b:RefOrder>4</b:RefOrder>
  </b:Source>
</b:Sources>
</file>

<file path=customXml/itemProps1.xml><?xml version="1.0" encoding="utf-8"?>
<ds:datastoreItem xmlns:ds="http://schemas.openxmlformats.org/officeDocument/2006/customXml" ds:itemID="{C4165BC9-3858-421B-AB22-7A86EE1A8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95067d-e146-4a86-b6c4-2bb2f56a4fc0"/>
    <ds:schemaRef ds:uri="decf439b-844c-422a-8c0e-8cb0c3622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AA8CD2-544E-4CA7-B8BE-BE828C242C8C}">
  <ds:schemaRefs>
    <ds:schemaRef ds:uri="http://schemas.microsoft.com/sharepoint/v3/contenttype/forms"/>
  </ds:schemaRefs>
</ds:datastoreItem>
</file>

<file path=customXml/itemProps3.xml><?xml version="1.0" encoding="utf-8"?>
<ds:datastoreItem xmlns:ds="http://schemas.openxmlformats.org/officeDocument/2006/customXml" ds:itemID="{0E1E24CF-7025-49C4-AC23-238B9E2518C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00D67FD-1203-46AF-AF7B-439C18DEA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6289</Words>
  <Characters>35850</Characters>
  <Application>Microsoft Office Word</Application>
  <DocSecurity>4</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Kuzhippala</dc:creator>
  <cp:keywords/>
  <dc:description/>
  <cp:lastModifiedBy>Troy Lovick</cp:lastModifiedBy>
  <cp:revision>2</cp:revision>
  <cp:lastPrinted>2020-05-30T21:23:00Z</cp:lastPrinted>
  <dcterms:created xsi:type="dcterms:W3CDTF">2021-07-19T20:58:00Z</dcterms:created>
  <dcterms:modified xsi:type="dcterms:W3CDTF">2021-07-19T20:58:00Z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0x010100ABEE009E865A944DB09750EDDC258783</vt:lpwstr>
  </property>
</Properties>
</file>